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91B6" w14:textId="156F31D1" w:rsidR="00375097" w:rsidRDefault="00E32229" w:rsidP="00375097">
      <w:pPr>
        <w:spacing w:after="0" w:line="240" w:lineRule="auto"/>
        <w:ind w:left="1440" w:hanging="1440"/>
        <w:jc w:val="both"/>
        <w:rPr>
          <w:b/>
          <w:sz w:val="28"/>
          <w:szCs w:val="28"/>
        </w:rPr>
      </w:pPr>
      <w:r w:rsidRPr="00E32229">
        <w:rPr>
          <w:b/>
          <w:sz w:val="28"/>
          <w:szCs w:val="28"/>
        </w:rPr>
        <w:t>DBA4811 Analytics for Consulting</w:t>
      </w:r>
      <w:r w:rsidR="00EE23B1">
        <w:rPr>
          <w:b/>
          <w:sz w:val="28"/>
          <w:szCs w:val="28"/>
        </w:rPr>
        <w:t xml:space="preserve"> </w:t>
      </w:r>
    </w:p>
    <w:p w14:paraId="70C8E94B" w14:textId="3A43A006" w:rsidR="00E105A7" w:rsidRPr="003C6CD8" w:rsidRDefault="00601417" w:rsidP="00375097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3C6CD8">
        <w:rPr>
          <w:sz w:val="24"/>
          <w:szCs w:val="24"/>
        </w:rPr>
        <w:t>AY20</w:t>
      </w:r>
      <w:r w:rsidR="0091653E">
        <w:rPr>
          <w:sz w:val="24"/>
          <w:szCs w:val="24"/>
        </w:rPr>
        <w:t>2</w:t>
      </w:r>
      <w:r w:rsidR="00CD4414">
        <w:rPr>
          <w:sz w:val="24"/>
          <w:szCs w:val="24"/>
        </w:rPr>
        <w:t>0</w:t>
      </w:r>
      <w:r w:rsidR="005735F3">
        <w:rPr>
          <w:sz w:val="24"/>
          <w:szCs w:val="24"/>
        </w:rPr>
        <w:t>/</w:t>
      </w:r>
      <w:r w:rsidRPr="003C6CD8">
        <w:rPr>
          <w:sz w:val="24"/>
          <w:szCs w:val="24"/>
        </w:rPr>
        <w:t>20</w:t>
      </w:r>
      <w:r w:rsidR="001E71C5">
        <w:rPr>
          <w:sz w:val="24"/>
          <w:szCs w:val="24"/>
        </w:rPr>
        <w:t>2</w:t>
      </w:r>
      <w:r w:rsidR="00CD4414">
        <w:rPr>
          <w:sz w:val="24"/>
          <w:szCs w:val="24"/>
        </w:rPr>
        <w:t>1</w:t>
      </w:r>
      <w:r w:rsidR="00C149EB">
        <w:rPr>
          <w:sz w:val="24"/>
          <w:szCs w:val="24"/>
        </w:rPr>
        <w:t xml:space="preserve"> S</w:t>
      </w:r>
      <w:r w:rsidR="00410A2A">
        <w:rPr>
          <w:sz w:val="24"/>
          <w:szCs w:val="24"/>
        </w:rPr>
        <w:t>emester 1</w:t>
      </w:r>
    </w:p>
    <w:p w14:paraId="66AAC8D2" w14:textId="77777777" w:rsidR="00E105A7" w:rsidRPr="003C6CD8" w:rsidRDefault="00E105A7" w:rsidP="00FB756A">
      <w:pPr>
        <w:spacing w:after="0" w:line="240" w:lineRule="auto"/>
        <w:jc w:val="both"/>
        <w:rPr>
          <w:sz w:val="24"/>
          <w:szCs w:val="24"/>
        </w:rPr>
      </w:pPr>
    </w:p>
    <w:p w14:paraId="40E713C1" w14:textId="2A863588" w:rsidR="0056523F" w:rsidRDefault="00410A2A" w:rsidP="00410A2A">
      <w:pPr>
        <w:spacing w:after="0" w:line="240" w:lineRule="auto"/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D92630">
        <w:rPr>
          <w:rFonts w:ascii="Calibri" w:hAnsi="Calibri" w:cs="Calibri"/>
          <w:sz w:val="24"/>
          <w:szCs w:val="24"/>
        </w:rPr>
        <w:t>Instructor:</w:t>
      </w:r>
      <w:r w:rsidRPr="00D92630">
        <w:rPr>
          <w:rFonts w:ascii="Calibri" w:hAnsi="Calibri" w:cs="Calibri"/>
          <w:sz w:val="24"/>
          <w:szCs w:val="24"/>
        </w:rPr>
        <w:tab/>
      </w:r>
      <w:r w:rsidR="0056523F">
        <w:rPr>
          <w:rFonts w:ascii="Calibri" w:hAnsi="Calibri" w:cs="Calibri"/>
          <w:sz w:val="24"/>
          <w:szCs w:val="24"/>
        </w:rPr>
        <w:t>Associate Professor Dr CHU Singfat</w:t>
      </w:r>
    </w:p>
    <w:p w14:paraId="7BEDA96D" w14:textId="77777777" w:rsidR="00410A2A" w:rsidRDefault="00410A2A" w:rsidP="00410A2A">
      <w:pPr>
        <w:spacing w:after="0" w:line="240" w:lineRule="auto"/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D92630">
        <w:rPr>
          <w:rFonts w:ascii="Calibri" w:hAnsi="Calibri" w:cs="Calibri"/>
          <w:sz w:val="24"/>
          <w:szCs w:val="24"/>
        </w:rPr>
        <w:t>Department:</w:t>
      </w:r>
      <w:r w:rsidRPr="00D92630">
        <w:rPr>
          <w:rFonts w:ascii="Calibri" w:hAnsi="Calibri" w:cs="Calibri"/>
          <w:sz w:val="24"/>
          <w:szCs w:val="24"/>
        </w:rPr>
        <w:tab/>
      </w:r>
      <w:r w:rsidR="0056523F">
        <w:rPr>
          <w:rFonts w:ascii="Calibri" w:hAnsi="Calibri" w:cs="Calibri"/>
          <w:sz w:val="24"/>
          <w:szCs w:val="24"/>
        </w:rPr>
        <w:t>Analytics and Operations</w:t>
      </w:r>
    </w:p>
    <w:p w14:paraId="6789C464" w14:textId="77777777" w:rsidR="00410A2A" w:rsidRDefault="00410A2A" w:rsidP="00410A2A">
      <w:pPr>
        <w:spacing w:after="0" w:line="240" w:lineRule="auto"/>
        <w:ind w:left="1440" w:hanging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Office:</w:t>
      </w:r>
      <w:r>
        <w:rPr>
          <w:rFonts w:ascii="Calibri" w:hAnsi="Calibri" w:cs="Calibri"/>
          <w:sz w:val="24"/>
          <w:szCs w:val="24"/>
        </w:rPr>
        <w:tab/>
        <w:t>Mochtar Riady Building, BIZ2</w:t>
      </w:r>
      <w:r w:rsidR="0056523F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#0</w:t>
      </w:r>
      <w:r w:rsidR="0056523F">
        <w:rPr>
          <w:rFonts w:ascii="Calibri" w:hAnsi="Calibri" w:cs="Calibri"/>
          <w:sz w:val="24"/>
          <w:szCs w:val="24"/>
        </w:rPr>
        <w:t>8-74</w:t>
      </w:r>
    </w:p>
    <w:p w14:paraId="2B400BAB" w14:textId="18BB4EF5" w:rsidR="00410A2A" w:rsidRDefault="00410A2A" w:rsidP="00410A2A">
      <w:pPr>
        <w:spacing w:after="0" w:line="240" w:lineRule="auto"/>
        <w:ind w:left="1440" w:hanging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Contacts:</w:t>
      </w:r>
      <w:r>
        <w:rPr>
          <w:rFonts w:ascii="Calibri" w:hAnsi="Calibri" w:cs="Calibri"/>
          <w:sz w:val="24"/>
          <w:szCs w:val="24"/>
        </w:rPr>
        <w:tab/>
      </w:r>
      <w:r w:rsidR="0056523F">
        <w:rPr>
          <w:rFonts w:ascii="Calibri" w:hAnsi="Calibri" w:cs="Calibri"/>
          <w:sz w:val="24"/>
          <w:szCs w:val="24"/>
        </w:rPr>
        <w:t>bizchucl</w:t>
      </w:r>
      <w:r>
        <w:rPr>
          <w:rFonts w:ascii="Calibri" w:hAnsi="Calibri" w:cs="Calibri"/>
          <w:sz w:val="24"/>
          <w:szCs w:val="24"/>
        </w:rPr>
        <w:t>@nus.edu.sg (email)</w:t>
      </w:r>
      <w:r w:rsidR="0091653E">
        <w:rPr>
          <w:rFonts w:ascii="Calibri" w:hAnsi="Calibri" w:cs="Calibri"/>
          <w:sz w:val="24"/>
          <w:szCs w:val="24"/>
        </w:rPr>
        <w:t xml:space="preserve"> </w:t>
      </w:r>
      <w:r w:rsidR="0091653E" w:rsidRPr="0091653E">
        <w:rPr>
          <w:rFonts w:ascii="Calibri" w:hAnsi="Calibri" w:cs="Calibri"/>
          <w:sz w:val="24"/>
          <w:szCs w:val="24"/>
        </w:rPr>
        <w:t>|6516 3031 (Tel)</w:t>
      </w:r>
    </w:p>
    <w:p w14:paraId="530C62B5" w14:textId="77777777" w:rsidR="00C149EB" w:rsidRPr="00D92630" w:rsidRDefault="00C149EB" w:rsidP="00FB756A">
      <w:pPr>
        <w:spacing w:after="0" w:line="240" w:lineRule="auto"/>
        <w:ind w:left="1440" w:hanging="1440"/>
        <w:jc w:val="both"/>
        <w:rPr>
          <w:rFonts w:ascii="Calibri" w:hAnsi="Calibri" w:cs="Calibri"/>
          <w:sz w:val="24"/>
          <w:szCs w:val="24"/>
        </w:rPr>
      </w:pPr>
    </w:p>
    <w:p w14:paraId="1D338D74" w14:textId="77777777" w:rsidR="0015736D" w:rsidRPr="009E7A5C" w:rsidRDefault="0015736D" w:rsidP="00FB756A">
      <w:pPr>
        <w:spacing w:after="0" w:line="240" w:lineRule="auto"/>
        <w:jc w:val="both"/>
      </w:pPr>
    </w:p>
    <w:p w14:paraId="5DC64A7E" w14:textId="65D6ED73" w:rsidR="00E105A7" w:rsidRDefault="00CE49C9" w:rsidP="00FB756A">
      <w:pPr>
        <w:spacing w:after="0" w:line="240" w:lineRule="auto"/>
        <w:jc w:val="both"/>
        <w:rPr>
          <w:b/>
          <w:sz w:val="24"/>
        </w:rPr>
      </w:pPr>
      <w:r w:rsidRPr="00AE05D5">
        <w:rPr>
          <w:b/>
          <w:sz w:val="24"/>
        </w:rPr>
        <w:t>COURSE DESCRIPTION</w:t>
      </w:r>
    </w:p>
    <w:p w14:paraId="01603C68" w14:textId="63FA1D46" w:rsidR="00E32229" w:rsidRDefault="00E32229" w:rsidP="00FB756A">
      <w:pPr>
        <w:spacing w:after="0" w:line="240" w:lineRule="auto"/>
        <w:jc w:val="both"/>
        <w:rPr>
          <w:b/>
          <w:sz w:val="24"/>
        </w:rPr>
      </w:pPr>
    </w:p>
    <w:p w14:paraId="66F08EF6" w14:textId="77777777" w:rsidR="00E32229" w:rsidRDefault="00E32229" w:rsidP="00E32229">
      <w:pPr>
        <w:pStyle w:val="Default"/>
      </w:pPr>
    </w:p>
    <w:p w14:paraId="0D41E8D1" w14:textId="3398BE0A" w:rsidR="00E32229" w:rsidRPr="00AE05D5" w:rsidRDefault="00E32229" w:rsidP="00E32229">
      <w:pPr>
        <w:spacing w:after="0" w:line="240" w:lineRule="auto"/>
        <w:jc w:val="both"/>
        <w:rPr>
          <w:b/>
          <w:sz w:val="24"/>
        </w:rPr>
      </w:pPr>
      <w:r>
        <w:t xml:space="preserve">Decisions supported by timely data analyses are the norm in this “Big Data” era. </w:t>
      </w:r>
      <w:r w:rsidR="00CD4414">
        <w:t>They underlie strategies devised in business department</w:t>
      </w:r>
      <w:r w:rsidR="00E660E6">
        <w:t>s</w:t>
      </w:r>
      <w:r w:rsidR="00CD4414">
        <w:t xml:space="preserve"> (e.g. </w:t>
      </w:r>
      <w:r>
        <w:t>supply chain</w:t>
      </w:r>
      <w:r w:rsidR="00CD4414">
        <w:t xml:space="preserve">, </w:t>
      </w:r>
      <w:r>
        <w:t>marketing, finance, human resources</w:t>
      </w:r>
      <w:r w:rsidR="00CD4414">
        <w:t xml:space="preserve"> etc.), government </w:t>
      </w:r>
      <w:r w:rsidR="00E660E6">
        <w:t xml:space="preserve">services </w:t>
      </w:r>
      <w:r w:rsidR="00CD4414">
        <w:t>(e.g. health</w:t>
      </w:r>
      <w:r w:rsidR="00E660E6">
        <w:t xml:space="preserve">, </w:t>
      </w:r>
      <w:r w:rsidR="00CD4414">
        <w:t>public transport</w:t>
      </w:r>
      <w:r w:rsidR="0007600F">
        <w:t>, congestion pricing</w:t>
      </w:r>
      <w:r w:rsidR="00CD4414">
        <w:t xml:space="preserve"> etc.) </w:t>
      </w:r>
      <w:r>
        <w:t>and sports</w:t>
      </w:r>
      <w:r w:rsidR="00CD4414">
        <w:t xml:space="preserve"> management (e.g. which player to recruit etc.). </w:t>
      </w:r>
      <w:r>
        <w:t xml:space="preserve"> </w:t>
      </w:r>
      <w:r w:rsidR="00CD4414">
        <w:t>A</w:t>
      </w:r>
      <w:r>
        <w:t xml:space="preserve">nalytics-savvy consultants </w:t>
      </w:r>
      <w:r w:rsidR="00CD4414">
        <w:t xml:space="preserve">advise these units </w:t>
      </w:r>
      <w:r>
        <w:t xml:space="preserve">to improve </w:t>
      </w:r>
      <w:r w:rsidR="00E660E6">
        <w:t xml:space="preserve">their </w:t>
      </w:r>
      <w:r>
        <w:t>customer satisfaction</w:t>
      </w:r>
      <w:r w:rsidR="00EC6A9A">
        <w:t xml:space="preserve"> </w:t>
      </w:r>
      <w:r>
        <w:t>and performance</w:t>
      </w:r>
      <w:r w:rsidR="00EC6A9A">
        <w:t xml:space="preserve"> metrics</w:t>
      </w:r>
      <w:r>
        <w:t xml:space="preserve">. This course aims to </w:t>
      </w:r>
      <w:r w:rsidR="00CD4414">
        <w:t xml:space="preserve">train such consultants </w:t>
      </w:r>
      <w:r>
        <w:t xml:space="preserve">with a holistic approach comprising critical thinking, </w:t>
      </w:r>
      <w:r w:rsidR="00E660E6">
        <w:t xml:space="preserve">robust </w:t>
      </w:r>
      <w:proofErr w:type="gramStart"/>
      <w:r w:rsidR="00E660E6">
        <w:t>a</w:t>
      </w:r>
      <w:r>
        <w:t>nalys</w:t>
      </w:r>
      <w:r w:rsidR="00E660E6">
        <w:t>es</w:t>
      </w:r>
      <w:proofErr w:type="gramEnd"/>
      <w:r>
        <w:t xml:space="preserve"> and persuasive communications </w:t>
      </w:r>
      <w:r w:rsidR="00E660E6">
        <w:t xml:space="preserve">skills towards the </w:t>
      </w:r>
      <w:r>
        <w:t>implementation</w:t>
      </w:r>
      <w:r w:rsidR="00E660E6">
        <w:t xml:space="preserve"> of their findings.</w:t>
      </w:r>
    </w:p>
    <w:p w14:paraId="1B24BC30" w14:textId="77777777" w:rsidR="00E105A7" w:rsidRPr="009E7A5C" w:rsidRDefault="00E105A7" w:rsidP="00FB756A">
      <w:pPr>
        <w:spacing w:after="0" w:line="240" w:lineRule="auto"/>
        <w:jc w:val="both"/>
      </w:pPr>
    </w:p>
    <w:p w14:paraId="4F1D454B" w14:textId="77777777" w:rsidR="00CD5AD8" w:rsidRPr="009E7A5C" w:rsidRDefault="00CD5AD8" w:rsidP="00FB756A">
      <w:pPr>
        <w:spacing w:after="0" w:line="240" w:lineRule="auto"/>
        <w:jc w:val="both"/>
        <w:rPr>
          <w:b/>
          <w:u w:val="single"/>
        </w:rPr>
      </w:pPr>
    </w:p>
    <w:p w14:paraId="30F83712" w14:textId="36B6AE38" w:rsidR="00D92630" w:rsidRDefault="00CE49C9" w:rsidP="00FB756A">
      <w:pPr>
        <w:spacing w:after="0" w:line="240" w:lineRule="auto"/>
        <w:jc w:val="both"/>
        <w:rPr>
          <w:b/>
          <w:sz w:val="24"/>
        </w:rPr>
      </w:pPr>
      <w:r w:rsidRPr="00AE05D5">
        <w:rPr>
          <w:b/>
          <w:sz w:val="24"/>
        </w:rPr>
        <w:t>LEARNING OUTCOMES</w:t>
      </w:r>
    </w:p>
    <w:p w14:paraId="19466846" w14:textId="3D1AF54F" w:rsidR="00E32229" w:rsidRDefault="00E32229" w:rsidP="00FB756A">
      <w:pPr>
        <w:spacing w:after="0" w:line="240" w:lineRule="auto"/>
        <w:jc w:val="both"/>
        <w:rPr>
          <w:b/>
          <w:sz w:val="24"/>
        </w:rPr>
      </w:pPr>
    </w:p>
    <w:p w14:paraId="4E41B429" w14:textId="717D0047" w:rsidR="00E32229" w:rsidRDefault="00E32229" w:rsidP="00E32229">
      <w:pPr>
        <w:spacing w:after="0" w:line="240" w:lineRule="auto"/>
        <w:jc w:val="both"/>
      </w:pPr>
      <w:r>
        <w:t>Through case analyses</w:t>
      </w:r>
      <w:r w:rsidR="0091653E">
        <w:t xml:space="preserve"> </w:t>
      </w:r>
      <w:r w:rsidR="007F228F">
        <w:t xml:space="preserve">tackled </w:t>
      </w:r>
      <w:r w:rsidR="0091653E">
        <w:t>in a flipped classroom format</w:t>
      </w:r>
      <w:r>
        <w:t xml:space="preserve">, participants will </w:t>
      </w:r>
      <w:r w:rsidR="001E71C5">
        <w:t xml:space="preserve">be exposed </w:t>
      </w:r>
      <w:r>
        <w:t>to</w:t>
      </w:r>
    </w:p>
    <w:p w14:paraId="3658AD54" w14:textId="02FE404B" w:rsidR="00E32229" w:rsidRDefault="00E32229" w:rsidP="00E32229">
      <w:pPr>
        <w:spacing w:after="0" w:line="240" w:lineRule="auto"/>
        <w:jc w:val="both"/>
      </w:pPr>
    </w:p>
    <w:p w14:paraId="2D871770" w14:textId="2A5CEBA6" w:rsidR="00E32229" w:rsidRDefault="00E32229" w:rsidP="00442E3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32229">
        <w:rPr>
          <w:b/>
          <w:bCs/>
          <w:sz w:val="22"/>
          <w:szCs w:val="22"/>
        </w:rPr>
        <w:t xml:space="preserve">Business Optimization Models </w:t>
      </w:r>
      <w:proofErr w:type="gramStart"/>
      <w:r w:rsidRPr="00E32229">
        <w:rPr>
          <w:sz w:val="22"/>
          <w:szCs w:val="22"/>
        </w:rPr>
        <w:t>i.e.</w:t>
      </w:r>
      <w:proofErr w:type="gramEnd"/>
      <w:r w:rsidRPr="00E32229">
        <w:rPr>
          <w:sz w:val="22"/>
          <w:szCs w:val="22"/>
        </w:rPr>
        <w:t xml:space="preserve"> Productive allocation of scarce resources </w:t>
      </w:r>
      <w:r w:rsidR="00E660E6">
        <w:rPr>
          <w:sz w:val="22"/>
          <w:szCs w:val="22"/>
        </w:rPr>
        <w:t>for o</w:t>
      </w:r>
      <w:r w:rsidRPr="00E32229">
        <w:rPr>
          <w:sz w:val="22"/>
          <w:szCs w:val="22"/>
        </w:rPr>
        <w:t>ptimal P</w:t>
      </w:r>
      <w:r w:rsidR="00E660E6">
        <w:rPr>
          <w:sz w:val="22"/>
          <w:szCs w:val="22"/>
        </w:rPr>
        <w:t xml:space="preserve">lanogram, </w:t>
      </w:r>
      <w:r w:rsidRPr="00E32229">
        <w:rPr>
          <w:sz w:val="22"/>
          <w:szCs w:val="22"/>
        </w:rPr>
        <w:t>Advertising Mix, Portfolio</w:t>
      </w:r>
      <w:r w:rsidR="00E660E6">
        <w:rPr>
          <w:sz w:val="22"/>
          <w:szCs w:val="22"/>
        </w:rPr>
        <w:t xml:space="preserve">, </w:t>
      </w:r>
      <w:r w:rsidRPr="00E32229">
        <w:rPr>
          <w:sz w:val="22"/>
          <w:szCs w:val="22"/>
        </w:rPr>
        <w:t xml:space="preserve">Supply Chain </w:t>
      </w:r>
      <w:r w:rsidR="00E660E6">
        <w:rPr>
          <w:sz w:val="22"/>
          <w:szCs w:val="22"/>
        </w:rPr>
        <w:t xml:space="preserve">Network, </w:t>
      </w:r>
      <w:r w:rsidRPr="00E32229">
        <w:rPr>
          <w:sz w:val="22"/>
          <w:szCs w:val="22"/>
        </w:rPr>
        <w:t xml:space="preserve">Cash Flow </w:t>
      </w:r>
      <w:r w:rsidR="00E660E6">
        <w:rPr>
          <w:sz w:val="22"/>
          <w:szCs w:val="22"/>
        </w:rPr>
        <w:t xml:space="preserve">Management, </w:t>
      </w:r>
      <w:r w:rsidR="00102BCF">
        <w:rPr>
          <w:sz w:val="22"/>
          <w:szCs w:val="22"/>
        </w:rPr>
        <w:t xml:space="preserve">Team </w:t>
      </w:r>
      <w:r w:rsidR="003902D1">
        <w:rPr>
          <w:sz w:val="22"/>
          <w:szCs w:val="22"/>
        </w:rPr>
        <w:t>Composition</w:t>
      </w:r>
      <w:r w:rsidR="00102BCF">
        <w:rPr>
          <w:sz w:val="22"/>
          <w:szCs w:val="22"/>
        </w:rPr>
        <w:t xml:space="preserve">, </w:t>
      </w:r>
      <w:r w:rsidRPr="00E32229">
        <w:rPr>
          <w:sz w:val="22"/>
          <w:szCs w:val="22"/>
        </w:rPr>
        <w:t xml:space="preserve">… </w:t>
      </w:r>
    </w:p>
    <w:p w14:paraId="7A765CF9" w14:textId="77777777" w:rsidR="009D69F9" w:rsidRDefault="009D69F9" w:rsidP="009D69F9">
      <w:pPr>
        <w:pStyle w:val="Default"/>
        <w:rPr>
          <w:sz w:val="22"/>
          <w:szCs w:val="22"/>
        </w:rPr>
      </w:pPr>
    </w:p>
    <w:p w14:paraId="59F9133F" w14:textId="354F5435" w:rsidR="009D69F9" w:rsidRDefault="00E32229" w:rsidP="00442E3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32229">
        <w:rPr>
          <w:b/>
          <w:bCs/>
          <w:sz w:val="22"/>
          <w:szCs w:val="22"/>
        </w:rPr>
        <w:t xml:space="preserve">Decision and Risk Analyses </w:t>
      </w:r>
      <w:r w:rsidRPr="00E32229">
        <w:rPr>
          <w:sz w:val="22"/>
          <w:szCs w:val="22"/>
        </w:rPr>
        <w:t>i.e. systematic assessment of Strategies, Risks, and Payoffs using Decision Trees and Sensitivity Analyses</w:t>
      </w:r>
      <w:r w:rsidR="009D69F9">
        <w:rPr>
          <w:sz w:val="22"/>
          <w:szCs w:val="22"/>
        </w:rPr>
        <w:t xml:space="preserve"> e.g. Make or Outsource, </w:t>
      </w:r>
      <w:r w:rsidR="00EC6A9A">
        <w:rPr>
          <w:sz w:val="22"/>
          <w:szCs w:val="22"/>
        </w:rPr>
        <w:t xml:space="preserve">Lease or Buy, </w:t>
      </w:r>
      <w:r w:rsidR="009D69F9">
        <w:rPr>
          <w:sz w:val="22"/>
          <w:szCs w:val="22"/>
        </w:rPr>
        <w:t>Benchmarking Demand Creation Strategies, …</w:t>
      </w:r>
    </w:p>
    <w:p w14:paraId="4364491A" w14:textId="77777777" w:rsidR="009D69F9" w:rsidRDefault="009D69F9" w:rsidP="009D69F9">
      <w:pPr>
        <w:pStyle w:val="ListParagraph"/>
      </w:pPr>
    </w:p>
    <w:p w14:paraId="3D658BCD" w14:textId="397E9D9C" w:rsidR="00D92630" w:rsidRPr="009E7A5C" w:rsidRDefault="00E32229" w:rsidP="000E059D">
      <w:pPr>
        <w:pStyle w:val="Default"/>
        <w:numPr>
          <w:ilvl w:val="0"/>
          <w:numId w:val="1"/>
        </w:numPr>
        <w:jc w:val="both"/>
      </w:pPr>
      <w:r w:rsidRPr="00C32364">
        <w:rPr>
          <w:b/>
          <w:bCs/>
          <w:sz w:val="22"/>
          <w:szCs w:val="22"/>
        </w:rPr>
        <w:t xml:space="preserve">Data </w:t>
      </w:r>
      <w:r w:rsidR="00EC6A9A" w:rsidRPr="00C32364">
        <w:rPr>
          <w:b/>
          <w:bCs/>
          <w:sz w:val="22"/>
          <w:szCs w:val="22"/>
        </w:rPr>
        <w:t xml:space="preserve">Visualization &amp; Intelligence </w:t>
      </w:r>
      <w:r w:rsidR="001E71C5">
        <w:rPr>
          <w:sz w:val="22"/>
          <w:szCs w:val="22"/>
        </w:rPr>
        <w:t>via PivotTable &amp; Tableau</w:t>
      </w:r>
      <w:r w:rsidR="00EC6A9A">
        <w:rPr>
          <w:sz w:val="22"/>
          <w:szCs w:val="22"/>
        </w:rPr>
        <w:t xml:space="preserve"> and </w:t>
      </w:r>
      <w:r w:rsidR="009D69F9">
        <w:rPr>
          <w:sz w:val="22"/>
          <w:szCs w:val="22"/>
        </w:rPr>
        <w:t xml:space="preserve">Advanced </w:t>
      </w:r>
      <w:r w:rsidR="001E71C5">
        <w:rPr>
          <w:sz w:val="22"/>
          <w:szCs w:val="22"/>
        </w:rPr>
        <w:t>R</w:t>
      </w:r>
      <w:r>
        <w:rPr>
          <w:sz w:val="22"/>
          <w:szCs w:val="22"/>
        </w:rPr>
        <w:t xml:space="preserve">egression </w:t>
      </w:r>
      <w:r w:rsidR="001E71C5">
        <w:rPr>
          <w:sz w:val="22"/>
          <w:szCs w:val="22"/>
        </w:rPr>
        <w:t>Models</w:t>
      </w:r>
      <w:r w:rsidR="009D69F9">
        <w:rPr>
          <w:sz w:val="22"/>
          <w:szCs w:val="22"/>
        </w:rPr>
        <w:t xml:space="preserve"> </w:t>
      </w:r>
      <w:proofErr w:type="gramStart"/>
      <w:r w:rsidR="009D69F9">
        <w:rPr>
          <w:sz w:val="22"/>
          <w:szCs w:val="22"/>
        </w:rPr>
        <w:t>e.g.</w:t>
      </w:r>
      <w:proofErr w:type="gramEnd"/>
      <w:r w:rsidR="009D69F9">
        <w:rPr>
          <w:sz w:val="22"/>
          <w:szCs w:val="22"/>
        </w:rPr>
        <w:t xml:space="preserve"> Profiling our best customers, What underlie worker longevity at the workplace</w:t>
      </w:r>
      <w:r w:rsidR="00EC6A9A">
        <w:rPr>
          <w:sz w:val="22"/>
          <w:szCs w:val="22"/>
        </w:rPr>
        <w:t xml:space="preserve"> </w:t>
      </w:r>
      <w:r w:rsidR="009D69F9">
        <w:rPr>
          <w:sz w:val="22"/>
          <w:szCs w:val="22"/>
        </w:rPr>
        <w:t>…</w:t>
      </w:r>
      <w:r w:rsidR="00C32364">
        <w:rPr>
          <w:sz w:val="22"/>
          <w:szCs w:val="22"/>
        </w:rPr>
        <w:br/>
      </w:r>
      <w:r w:rsidR="00C32364">
        <w:rPr>
          <w:sz w:val="22"/>
          <w:szCs w:val="22"/>
        </w:rPr>
        <w:br/>
      </w:r>
    </w:p>
    <w:p w14:paraId="79EEC52E" w14:textId="77777777" w:rsidR="00C32364" w:rsidRDefault="00C32364" w:rsidP="00C32364">
      <w:pPr>
        <w:spacing w:after="0" w:line="240" w:lineRule="auto"/>
        <w:jc w:val="both"/>
        <w:rPr>
          <w:b/>
        </w:rPr>
      </w:pPr>
      <w:r>
        <w:rPr>
          <w:b/>
        </w:rPr>
        <w:t xml:space="preserve">Software </w:t>
      </w:r>
    </w:p>
    <w:p w14:paraId="580F6D38" w14:textId="77777777" w:rsidR="00C32364" w:rsidRDefault="00C32364" w:rsidP="00C32364">
      <w:pPr>
        <w:spacing w:after="0" w:line="240" w:lineRule="auto"/>
        <w:jc w:val="both"/>
      </w:pPr>
    </w:p>
    <w:p w14:paraId="62DDF2C1" w14:textId="77777777" w:rsidR="00C32364" w:rsidRDefault="00C32364" w:rsidP="00C32364">
      <w:pPr>
        <w:spacing w:after="0" w:line="240" w:lineRule="auto"/>
        <w:jc w:val="both"/>
      </w:pPr>
      <w:r>
        <w:t xml:space="preserve">The course will make heavy use of 3 add-ins namely (1) </w:t>
      </w:r>
      <w:hyperlink r:id="rId7" w:anchor="OfficeVersion=Windows" w:history="1">
        <w:r w:rsidRPr="00102BCF">
          <w:rPr>
            <w:rStyle w:val="Hyperlink"/>
          </w:rPr>
          <w:t>SOLVER</w:t>
        </w:r>
      </w:hyperlink>
      <w:r>
        <w:t xml:space="preserve">, available within Excel (2) </w:t>
      </w:r>
      <w:hyperlink r:id="rId8" w:history="1">
        <w:proofErr w:type="spellStart"/>
        <w:r w:rsidRPr="00102BCF">
          <w:rPr>
            <w:rStyle w:val="Hyperlink"/>
          </w:rPr>
          <w:t>Treeplan</w:t>
        </w:r>
        <w:proofErr w:type="spellEnd"/>
      </w:hyperlink>
      <w:r>
        <w:t xml:space="preserve">, which will be provided to you and (3) </w:t>
      </w:r>
      <w:hyperlink r:id="rId9" w:history="1">
        <w:proofErr w:type="spellStart"/>
        <w:r w:rsidRPr="0091653E">
          <w:rPr>
            <w:rStyle w:val="Hyperlink"/>
          </w:rPr>
          <w:t>RegressIt</w:t>
        </w:r>
        <w:proofErr w:type="spellEnd"/>
      </w:hyperlink>
      <w:r>
        <w:t xml:space="preserve"> (please download). You must bring a laptop to EVERY class in this hands-on course.</w:t>
      </w:r>
    </w:p>
    <w:p w14:paraId="6A4D8CC3" w14:textId="77777777" w:rsidR="0010245C" w:rsidRDefault="0010245C" w:rsidP="00C149EB">
      <w:pPr>
        <w:spacing w:after="0" w:line="240" w:lineRule="auto"/>
        <w:jc w:val="both"/>
        <w:rPr>
          <w:b/>
          <w:sz w:val="24"/>
        </w:rPr>
      </w:pPr>
    </w:p>
    <w:p w14:paraId="5EC2431E" w14:textId="788CCA45" w:rsidR="00C149EB" w:rsidRDefault="009D69F9" w:rsidP="00C149EB">
      <w:pPr>
        <w:spacing w:after="0" w:line="240" w:lineRule="auto"/>
        <w:jc w:val="both"/>
        <w:rPr>
          <w:b/>
        </w:rPr>
      </w:pPr>
      <w:r>
        <w:rPr>
          <w:b/>
        </w:rPr>
        <w:t>Sample Reference</w:t>
      </w:r>
      <w:r w:rsidR="00C149EB">
        <w:rPr>
          <w:b/>
        </w:rPr>
        <w:t xml:space="preserve"> Textbook</w:t>
      </w:r>
      <w:r>
        <w:rPr>
          <w:b/>
        </w:rPr>
        <w:t xml:space="preserve"> (Available in NUS Libraries)</w:t>
      </w:r>
    </w:p>
    <w:p w14:paraId="5D95B1E9" w14:textId="77777777" w:rsidR="00C149EB" w:rsidRDefault="00C149EB" w:rsidP="00C149EB">
      <w:pPr>
        <w:spacing w:after="0" w:line="240" w:lineRule="auto"/>
        <w:jc w:val="both"/>
      </w:pPr>
    </w:p>
    <w:p w14:paraId="35EA5149" w14:textId="77777777" w:rsidR="009D69F9" w:rsidRDefault="00152BCC" w:rsidP="00C149EB">
      <w:pPr>
        <w:spacing w:after="0" w:line="240" w:lineRule="auto"/>
        <w:jc w:val="both"/>
      </w:pPr>
      <w:r w:rsidRPr="00152BCC">
        <w:t xml:space="preserve">Business Analytics: Data Analysis &amp; Decision Making by Albright &amp; Winston, </w:t>
      </w:r>
      <w:r w:rsidR="009D69F9">
        <w:t>any edition.</w:t>
      </w:r>
    </w:p>
    <w:p w14:paraId="74574F1F" w14:textId="3208B887" w:rsidR="00EC6A9A" w:rsidRDefault="009D69F9" w:rsidP="00C149EB">
      <w:pPr>
        <w:spacing w:after="0" w:line="240" w:lineRule="auto"/>
        <w:jc w:val="both"/>
      </w:pPr>
      <w:r>
        <w:br/>
        <w:t xml:space="preserve">Due to the COVID19 situation, the course will not adopt </w:t>
      </w:r>
      <w:r w:rsidR="003902D1">
        <w:t>the</w:t>
      </w:r>
      <w:r>
        <w:t xml:space="preserve"> </w:t>
      </w:r>
      <w:r w:rsidR="00A01E0C">
        <w:t>above t</w:t>
      </w:r>
      <w:r>
        <w:t>ext</w:t>
      </w:r>
      <w:r w:rsidR="003902D1">
        <w:t xml:space="preserve"> and its bundled software suite used previously</w:t>
      </w:r>
      <w:r>
        <w:t xml:space="preserve">. The above reference and similar texts available in the NUS Libraries together </w:t>
      </w:r>
      <w:r w:rsidR="00EC6A9A">
        <w:t xml:space="preserve">with the course </w:t>
      </w:r>
      <w:r>
        <w:t xml:space="preserve">notes and additional links (e.g. </w:t>
      </w:r>
      <w:hyperlink r:id="rId10" w:history="1">
        <w:r w:rsidRPr="00A01E0C">
          <w:rPr>
            <w:rStyle w:val="Hyperlink"/>
          </w:rPr>
          <w:t>MIT Open</w:t>
        </w:r>
        <w:r w:rsidR="00A01E0C" w:rsidRPr="00A01E0C">
          <w:rPr>
            <w:rStyle w:val="Hyperlink"/>
          </w:rPr>
          <w:t xml:space="preserve"> </w:t>
        </w:r>
        <w:r w:rsidRPr="00A01E0C">
          <w:rPr>
            <w:rStyle w:val="Hyperlink"/>
          </w:rPr>
          <w:t>Courseware</w:t>
        </w:r>
      </w:hyperlink>
      <w:r>
        <w:t xml:space="preserve">, </w:t>
      </w:r>
      <w:hyperlink r:id="rId11" w:history="1">
        <w:r w:rsidRPr="00A01E0C">
          <w:rPr>
            <w:rStyle w:val="Hyperlink"/>
          </w:rPr>
          <w:t>Coursera</w:t>
        </w:r>
      </w:hyperlink>
      <w:r w:rsidR="00EC6A9A">
        <w:t>, t</w:t>
      </w:r>
      <w:r w:rsidR="00EC6A9A" w:rsidRPr="00EC6A9A">
        <w:t xml:space="preserve">imely articles from </w:t>
      </w:r>
      <w:hyperlink r:id="rId12" w:history="1">
        <w:r w:rsidR="00EC6A9A" w:rsidRPr="00A01E0C">
          <w:rPr>
            <w:rStyle w:val="Hyperlink"/>
          </w:rPr>
          <w:t>Harvard Business Review</w:t>
        </w:r>
      </w:hyperlink>
      <w:r w:rsidR="00EC6A9A" w:rsidRPr="00EC6A9A">
        <w:t xml:space="preserve">, </w:t>
      </w:r>
      <w:hyperlink r:id="rId13" w:history="1">
        <w:r w:rsidR="00EC6A9A" w:rsidRPr="00A01E0C">
          <w:rPr>
            <w:rStyle w:val="Hyperlink"/>
          </w:rPr>
          <w:t>Mc Kinsey Analytics</w:t>
        </w:r>
      </w:hyperlink>
      <w:r w:rsidR="00EC6A9A" w:rsidRPr="00EC6A9A">
        <w:t xml:space="preserve"> etc.</w:t>
      </w:r>
      <w:r>
        <w:t>)</w:t>
      </w:r>
      <w:r w:rsidR="00EC6A9A">
        <w:t xml:space="preserve"> should p</w:t>
      </w:r>
      <w:r>
        <w:t>rovide</w:t>
      </w:r>
      <w:r w:rsidR="00EC6A9A">
        <w:t xml:space="preserve"> a </w:t>
      </w:r>
      <w:r>
        <w:t>thorough</w:t>
      </w:r>
      <w:r w:rsidR="00EC6A9A">
        <w:t xml:space="preserve"> coverage. </w:t>
      </w:r>
    </w:p>
    <w:p w14:paraId="5D6B5916" w14:textId="77777777" w:rsidR="00EC6A9A" w:rsidRDefault="00EC6A9A" w:rsidP="0010245C">
      <w:pPr>
        <w:spacing w:after="0" w:line="240" w:lineRule="auto"/>
        <w:jc w:val="both"/>
      </w:pPr>
    </w:p>
    <w:p w14:paraId="25C404D1" w14:textId="77777777" w:rsidR="00E105A7" w:rsidRPr="00AE05D5" w:rsidRDefault="00CE49C9" w:rsidP="00FB756A">
      <w:pPr>
        <w:spacing w:after="0" w:line="240" w:lineRule="auto"/>
        <w:jc w:val="both"/>
        <w:rPr>
          <w:b/>
          <w:sz w:val="24"/>
        </w:rPr>
      </w:pPr>
      <w:r w:rsidRPr="00AE05D5">
        <w:rPr>
          <w:b/>
          <w:sz w:val="24"/>
        </w:rPr>
        <w:t>ASSESSMENTS</w:t>
      </w:r>
    </w:p>
    <w:p w14:paraId="6BF99B0B" w14:textId="77777777" w:rsidR="004472A9" w:rsidRPr="009E7A5C" w:rsidRDefault="004472A9" w:rsidP="00FB756A">
      <w:pPr>
        <w:spacing w:after="0" w:line="240" w:lineRule="auto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4472A9" w:rsidRPr="009E7A5C" w14:paraId="05A59D87" w14:textId="77777777" w:rsidTr="006828E3">
        <w:trPr>
          <w:trHeight w:val="312"/>
        </w:trPr>
        <w:tc>
          <w:tcPr>
            <w:tcW w:w="5807" w:type="dxa"/>
            <w:tcBorders>
              <w:bottom w:val="single" w:sz="12" w:space="0" w:color="auto"/>
            </w:tcBorders>
            <w:vAlign w:val="center"/>
          </w:tcPr>
          <w:p w14:paraId="61BDDC05" w14:textId="77777777" w:rsidR="004472A9" w:rsidRPr="009E7A5C" w:rsidRDefault="004472A9" w:rsidP="00FB756A">
            <w:pPr>
              <w:jc w:val="both"/>
              <w:rPr>
                <w:b/>
              </w:rPr>
            </w:pPr>
            <w:r w:rsidRPr="009E7A5C">
              <w:rPr>
                <w:b/>
              </w:rPr>
              <w:t>Component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4BAEA2BA" w14:textId="77777777" w:rsidR="004472A9" w:rsidRPr="009E7A5C" w:rsidRDefault="004472A9" w:rsidP="00FB756A">
            <w:pPr>
              <w:jc w:val="both"/>
              <w:rPr>
                <w:b/>
              </w:rPr>
            </w:pPr>
            <w:r w:rsidRPr="009E7A5C">
              <w:rPr>
                <w:b/>
              </w:rPr>
              <w:t>Weight</w:t>
            </w:r>
          </w:p>
        </w:tc>
      </w:tr>
      <w:tr w:rsidR="0010245C" w:rsidRPr="009E7A5C" w14:paraId="765C7005" w14:textId="77777777" w:rsidTr="005C4B27">
        <w:trPr>
          <w:trHeight w:val="312"/>
        </w:trPr>
        <w:tc>
          <w:tcPr>
            <w:tcW w:w="580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99035C" w14:textId="0323D26E" w:rsidR="0010245C" w:rsidRPr="009E7A5C" w:rsidRDefault="001E71C5" w:rsidP="0010245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10245C">
              <w:rPr>
                <w:rFonts w:ascii="Arial" w:hAnsi="Arial" w:cs="Arial"/>
                <w:sz w:val="20"/>
                <w:szCs w:val="20"/>
              </w:rPr>
              <w:t>Team Assignments</w:t>
            </w:r>
          </w:p>
        </w:tc>
        <w:tc>
          <w:tcPr>
            <w:tcW w:w="38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3222A68E" w14:textId="4E118156" w:rsidR="0010245C" w:rsidRPr="009E7A5C" w:rsidRDefault="0010245C" w:rsidP="0010245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Pr="007A5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0245C" w:rsidRPr="009E7A5C" w14:paraId="6A47D217" w14:textId="77777777" w:rsidTr="005C4B27">
        <w:trPr>
          <w:trHeight w:val="312"/>
        </w:trPr>
        <w:tc>
          <w:tcPr>
            <w:tcW w:w="580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42793C" w14:textId="542C2BC4" w:rsidR="0010245C" w:rsidRDefault="0010245C" w:rsidP="0010245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&amp; Presentation</w:t>
            </w:r>
          </w:p>
        </w:tc>
        <w:tc>
          <w:tcPr>
            <w:tcW w:w="38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3831D1BB" w14:textId="3AE91B05" w:rsidR="0010245C" w:rsidRDefault="0010245C" w:rsidP="0010245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7A5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0245C" w:rsidRPr="009E7A5C" w14:paraId="7AEB29DC" w14:textId="77777777" w:rsidTr="005C4B27">
        <w:trPr>
          <w:trHeight w:val="312"/>
        </w:trPr>
        <w:tc>
          <w:tcPr>
            <w:tcW w:w="580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53B06B" w14:textId="00975068" w:rsidR="0010245C" w:rsidRPr="002730C2" w:rsidRDefault="0010245C" w:rsidP="0010245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In-Class Case Studies </w:t>
            </w:r>
          </w:p>
        </w:tc>
        <w:tc>
          <w:tcPr>
            <w:tcW w:w="38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5A3E093" w14:textId="710FBA3B" w:rsidR="0010245C" w:rsidRDefault="0010245C" w:rsidP="0010245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Pr="007A5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0245C" w:rsidRPr="009E7A5C" w14:paraId="30DBF24A" w14:textId="77777777" w:rsidTr="005C4B27">
        <w:trPr>
          <w:trHeight w:val="312"/>
        </w:trPr>
        <w:tc>
          <w:tcPr>
            <w:tcW w:w="580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B1E18C" w14:textId="084E3A71" w:rsidR="0010245C" w:rsidRPr="009E7A5C" w:rsidRDefault="0010245C" w:rsidP="0010245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End-of-semester Team Project</w:t>
            </w:r>
            <w:r w:rsidRPr="007A51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5267ED2" w14:textId="531D386A" w:rsidR="0010245C" w:rsidRPr="009E7A5C" w:rsidRDefault="0010245C" w:rsidP="0010245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7A5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0245C" w:rsidRPr="009E7A5C" w14:paraId="2AFC45DA" w14:textId="77777777" w:rsidTr="006828E3">
        <w:trPr>
          <w:trHeight w:val="312"/>
        </w:trPr>
        <w:tc>
          <w:tcPr>
            <w:tcW w:w="5807" w:type="dxa"/>
            <w:vAlign w:val="center"/>
          </w:tcPr>
          <w:p w14:paraId="00EADCF9" w14:textId="77777777" w:rsidR="0010245C" w:rsidRPr="009E7A5C" w:rsidRDefault="0010245C" w:rsidP="0010245C">
            <w:pPr>
              <w:jc w:val="both"/>
              <w:rPr>
                <w:b/>
              </w:rPr>
            </w:pPr>
            <w:r w:rsidRPr="009E7A5C">
              <w:rPr>
                <w:b/>
              </w:rPr>
              <w:t>Total</w:t>
            </w:r>
          </w:p>
        </w:tc>
        <w:tc>
          <w:tcPr>
            <w:tcW w:w="3827" w:type="dxa"/>
            <w:vAlign w:val="center"/>
          </w:tcPr>
          <w:p w14:paraId="4D2BF900" w14:textId="77777777" w:rsidR="0010245C" w:rsidRPr="009E7A5C" w:rsidRDefault="0010245C" w:rsidP="0010245C">
            <w:pPr>
              <w:jc w:val="both"/>
              <w:rPr>
                <w:b/>
              </w:rPr>
            </w:pPr>
            <w:r w:rsidRPr="009E7A5C">
              <w:rPr>
                <w:b/>
              </w:rPr>
              <w:t>100%</w:t>
            </w:r>
          </w:p>
        </w:tc>
      </w:tr>
    </w:tbl>
    <w:p w14:paraId="2B107AC3" w14:textId="77777777" w:rsidR="006828E3" w:rsidRDefault="006828E3" w:rsidP="00FB756A">
      <w:pPr>
        <w:spacing w:after="0" w:line="240" w:lineRule="auto"/>
        <w:jc w:val="both"/>
      </w:pPr>
    </w:p>
    <w:p w14:paraId="32425804" w14:textId="77777777" w:rsidR="006828E3" w:rsidRDefault="006828E3" w:rsidP="00FB756A">
      <w:pPr>
        <w:spacing w:after="0" w:line="240" w:lineRule="auto"/>
        <w:jc w:val="both"/>
      </w:pPr>
    </w:p>
    <w:sectPr w:rsidR="006828E3" w:rsidSect="003C6CD8">
      <w:headerReference w:type="default" r:id="rId14"/>
      <w:footerReference w:type="default" r:id="rId15"/>
      <w:pgSz w:w="11907" w:h="16839" w:code="9"/>
      <w:pgMar w:top="187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133D" w14:textId="77777777" w:rsidR="00613669" w:rsidRDefault="00613669" w:rsidP="00E105A7">
      <w:pPr>
        <w:spacing w:after="0" w:line="240" w:lineRule="auto"/>
      </w:pPr>
      <w:r>
        <w:separator/>
      </w:r>
    </w:p>
  </w:endnote>
  <w:endnote w:type="continuationSeparator" w:id="0">
    <w:p w14:paraId="139B3EAF" w14:textId="77777777" w:rsidR="00613669" w:rsidRDefault="00613669" w:rsidP="00E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3494" w14:textId="77777777" w:rsidR="00BA2A31" w:rsidRPr="00BA2A31" w:rsidRDefault="00BA2A31" w:rsidP="00BA2A31">
    <w:pPr>
      <w:pStyle w:val="Footer"/>
      <w:jc w:val="center"/>
      <w:rPr>
        <w:rFonts w:ascii="Calibri" w:hAnsi="Calibri" w:cs="Calibri"/>
        <w:sz w:val="16"/>
        <w:szCs w:val="16"/>
      </w:rPr>
    </w:pPr>
    <w:r w:rsidRPr="003373E4">
      <w:rPr>
        <w:rFonts w:ascii="Calibri" w:hAnsi="Calibri" w:cs="Calibri"/>
        <w:sz w:val="16"/>
        <w:szCs w:val="16"/>
      </w:rPr>
      <w:t xml:space="preserve">Page </w:t>
    </w:r>
    <w:r w:rsidRPr="003373E4">
      <w:rPr>
        <w:rFonts w:ascii="Calibri" w:hAnsi="Calibri" w:cs="Calibri"/>
        <w:sz w:val="16"/>
        <w:szCs w:val="16"/>
      </w:rPr>
      <w:fldChar w:fldCharType="begin"/>
    </w:r>
    <w:r w:rsidRPr="003373E4">
      <w:rPr>
        <w:rFonts w:ascii="Calibri" w:hAnsi="Calibri" w:cs="Calibri"/>
        <w:sz w:val="16"/>
        <w:szCs w:val="16"/>
      </w:rPr>
      <w:instrText xml:space="preserve"> PAGE   \* MERGEFORMAT </w:instrText>
    </w:r>
    <w:r w:rsidRPr="003373E4">
      <w:rPr>
        <w:rFonts w:ascii="Calibri" w:hAnsi="Calibri" w:cs="Calibri"/>
        <w:sz w:val="16"/>
        <w:szCs w:val="16"/>
      </w:rPr>
      <w:fldChar w:fldCharType="separate"/>
    </w:r>
    <w:r w:rsidR="0056523F">
      <w:rPr>
        <w:rFonts w:ascii="Calibri" w:hAnsi="Calibri" w:cs="Calibri"/>
        <w:noProof/>
        <w:sz w:val="16"/>
        <w:szCs w:val="16"/>
      </w:rPr>
      <w:t>2</w:t>
    </w:r>
    <w:r w:rsidRPr="003373E4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0883" w14:textId="77777777" w:rsidR="00613669" w:rsidRDefault="00613669" w:rsidP="00E105A7">
      <w:pPr>
        <w:spacing w:after="0" w:line="240" w:lineRule="auto"/>
      </w:pPr>
      <w:r>
        <w:separator/>
      </w:r>
    </w:p>
  </w:footnote>
  <w:footnote w:type="continuationSeparator" w:id="0">
    <w:p w14:paraId="7F760230" w14:textId="77777777" w:rsidR="00613669" w:rsidRDefault="00613669" w:rsidP="00E1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5685" w14:textId="77777777" w:rsidR="00EA5EB7" w:rsidRDefault="00EA5EB7">
    <w:pPr>
      <w:pStyle w:val="Header"/>
      <w:rPr>
        <w:b/>
        <w:noProof/>
      </w:rPr>
    </w:pPr>
  </w:p>
  <w:p w14:paraId="3AEAE87C" w14:textId="77777777" w:rsidR="00E105A7" w:rsidRDefault="00E105A7">
    <w:pPr>
      <w:pStyle w:val="Header"/>
    </w:pPr>
    <w:r>
      <w:rPr>
        <w:b/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4EFAB77C" wp14:editId="035DEB04">
          <wp:simplePos x="0" y="0"/>
          <wp:positionH relativeFrom="column">
            <wp:posOffset>-158115</wp:posOffset>
          </wp:positionH>
          <wp:positionV relativeFrom="paragraph">
            <wp:posOffset>-165735</wp:posOffset>
          </wp:positionV>
          <wp:extent cx="2423440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95EE1"/>
    <w:multiLevelType w:val="hybridMultilevel"/>
    <w:tmpl w:val="65AE475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A7"/>
    <w:rsid w:val="000217D5"/>
    <w:rsid w:val="000275BB"/>
    <w:rsid w:val="0003450B"/>
    <w:rsid w:val="00052D1F"/>
    <w:rsid w:val="0005659D"/>
    <w:rsid w:val="00064283"/>
    <w:rsid w:val="00072BF4"/>
    <w:rsid w:val="0007600F"/>
    <w:rsid w:val="00084256"/>
    <w:rsid w:val="00093FEA"/>
    <w:rsid w:val="000B6434"/>
    <w:rsid w:val="000F113A"/>
    <w:rsid w:val="000F19EC"/>
    <w:rsid w:val="00102105"/>
    <w:rsid w:val="0010245C"/>
    <w:rsid w:val="00102BCF"/>
    <w:rsid w:val="001056E5"/>
    <w:rsid w:val="00110AA6"/>
    <w:rsid w:val="00113FD7"/>
    <w:rsid w:val="0011692B"/>
    <w:rsid w:val="001363CC"/>
    <w:rsid w:val="00152BCC"/>
    <w:rsid w:val="0015736D"/>
    <w:rsid w:val="00182447"/>
    <w:rsid w:val="001B6203"/>
    <w:rsid w:val="001E71C5"/>
    <w:rsid w:val="00207A68"/>
    <w:rsid w:val="00210F5D"/>
    <w:rsid w:val="00224C19"/>
    <w:rsid w:val="0026665F"/>
    <w:rsid w:val="00271543"/>
    <w:rsid w:val="002A4EBB"/>
    <w:rsid w:val="002A58B4"/>
    <w:rsid w:val="002E197D"/>
    <w:rsid w:val="002E7C6A"/>
    <w:rsid w:val="00305A39"/>
    <w:rsid w:val="0030657C"/>
    <w:rsid w:val="003108C2"/>
    <w:rsid w:val="00313A5D"/>
    <w:rsid w:val="00336AE1"/>
    <w:rsid w:val="0036744A"/>
    <w:rsid w:val="00375097"/>
    <w:rsid w:val="00382FB4"/>
    <w:rsid w:val="00387FC5"/>
    <w:rsid w:val="003902D1"/>
    <w:rsid w:val="003B75D2"/>
    <w:rsid w:val="003C6CD8"/>
    <w:rsid w:val="00410A2A"/>
    <w:rsid w:val="00412487"/>
    <w:rsid w:val="004142D6"/>
    <w:rsid w:val="00426FC6"/>
    <w:rsid w:val="00442E34"/>
    <w:rsid w:val="0044467F"/>
    <w:rsid w:val="004472A9"/>
    <w:rsid w:val="0045009B"/>
    <w:rsid w:val="00484449"/>
    <w:rsid w:val="00493201"/>
    <w:rsid w:val="004C4F32"/>
    <w:rsid w:val="004D488A"/>
    <w:rsid w:val="004D4E1E"/>
    <w:rsid w:val="004E5588"/>
    <w:rsid w:val="004E6064"/>
    <w:rsid w:val="005471BF"/>
    <w:rsid w:val="0056523F"/>
    <w:rsid w:val="005679DE"/>
    <w:rsid w:val="005734F2"/>
    <w:rsid w:val="005735F3"/>
    <w:rsid w:val="005906B0"/>
    <w:rsid w:val="005A36D6"/>
    <w:rsid w:val="005A5C1F"/>
    <w:rsid w:val="005B4762"/>
    <w:rsid w:val="005B70A8"/>
    <w:rsid w:val="005C3CEF"/>
    <w:rsid w:val="005F692B"/>
    <w:rsid w:val="00601417"/>
    <w:rsid w:val="006124BE"/>
    <w:rsid w:val="00613669"/>
    <w:rsid w:val="00625089"/>
    <w:rsid w:val="0065108C"/>
    <w:rsid w:val="006828E3"/>
    <w:rsid w:val="006B2C4A"/>
    <w:rsid w:val="006B5753"/>
    <w:rsid w:val="007208AF"/>
    <w:rsid w:val="0074587B"/>
    <w:rsid w:val="00746E48"/>
    <w:rsid w:val="007567AC"/>
    <w:rsid w:val="00781106"/>
    <w:rsid w:val="007B1AFE"/>
    <w:rsid w:val="007C7DB2"/>
    <w:rsid w:val="007F228F"/>
    <w:rsid w:val="007F4C10"/>
    <w:rsid w:val="00807E1F"/>
    <w:rsid w:val="00827FE3"/>
    <w:rsid w:val="00831123"/>
    <w:rsid w:val="0084022A"/>
    <w:rsid w:val="00857D76"/>
    <w:rsid w:val="008724B0"/>
    <w:rsid w:val="00881B1B"/>
    <w:rsid w:val="008845D5"/>
    <w:rsid w:val="00895F61"/>
    <w:rsid w:val="008D106A"/>
    <w:rsid w:val="008E4CE1"/>
    <w:rsid w:val="008E68BA"/>
    <w:rsid w:val="00911712"/>
    <w:rsid w:val="0091626D"/>
    <w:rsid w:val="0091653E"/>
    <w:rsid w:val="009270CB"/>
    <w:rsid w:val="009505B7"/>
    <w:rsid w:val="009A349F"/>
    <w:rsid w:val="009B769A"/>
    <w:rsid w:val="009D01E4"/>
    <w:rsid w:val="009D69F9"/>
    <w:rsid w:val="009E7A5C"/>
    <w:rsid w:val="009F7877"/>
    <w:rsid w:val="00A01E0C"/>
    <w:rsid w:val="00A17431"/>
    <w:rsid w:val="00A422A7"/>
    <w:rsid w:val="00A85696"/>
    <w:rsid w:val="00AA5523"/>
    <w:rsid w:val="00AE05D5"/>
    <w:rsid w:val="00B15A5B"/>
    <w:rsid w:val="00B248AD"/>
    <w:rsid w:val="00B41C67"/>
    <w:rsid w:val="00B529DD"/>
    <w:rsid w:val="00B57BD9"/>
    <w:rsid w:val="00BA2A31"/>
    <w:rsid w:val="00BF02E0"/>
    <w:rsid w:val="00C0510D"/>
    <w:rsid w:val="00C149EB"/>
    <w:rsid w:val="00C32364"/>
    <w:rsid w:val="00C8422E"/>
    <w:rsid w:val="00C90E95"/>
    <w:rsid w:val="00C9423F"/>
    <w:rsid w:val="00CA18A3"/>
    <w:rsid w:val="00CD4414"/>
    <w:rsid w:val="00CD519A"/>
    <w:rsid w:val="00CD5AD8"/>
    <w:rsid w:val="00CE49C9"/>
    <w:rsid w:val="00D25D48"/>
    <w:rsid w:val="00D32102"/>
    <w:rsid w:val="00D67670"/>
    <w:rsid w:val="00D92630"/>
    <w:rsid w:val="00D9621E"/>
    <w:rsid w:val="00D97FA3"/>
    <w:rsid w:val="00DA18BC"/>
    <w:rsid w:val="00E105A7"/>
    <w:rsid w:val="00E32229"/>
    <w:rsid w:val="00E46CDA"/>
    <w:rsid w:val="00E660E6"/>
    <w:rsid w:val="00E7644A"/>
    <w:rsid w:val="00E86338"/>
    <w:rsid w:val="00E9026A"/>
    <w:rsid w:val="00EA5EB7"/>
    <w:rsid w:val="00EC6A9A"/>
    <w:rsid w:val="00EE0BCC"/>
    <w:rsid w:val="00EE23B1"/>
    <w:rsid w:val="00F11B6F"/>
    <w:rsid w:val="00F21178"/>
    <w:rsid w:val="00F601D3"/>
    <w:rsid w:val="00F668FB"/>
    <w:rsid w:val="00F741EE"/>
    <w:rsid w:val="00F77197"/>
    <w:rsid w:val="00FB47BC"/>
    <w:rsid w:val="00FB756A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BAFB77"/>
  <w15:docId w15:val="{1A3D9526-E3F9-427A-8C8D-B5C992DD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A7"/>
  </w:style>
  <w:style w:type="paragraph" w:styleId="Footer">
    <w:name w:val="footer"/>
    <w:basedOn w:val="Normal"/>
    <w:link w:val="FooterChar"/>
    <w:uiPriority w:val="99"/>
    <w:unhideWhenUsed/>
    <w:rsid w:val="00E1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A7"/>
  </w:style>
  <w:style w:type="character" w:styleId="Hyperlink">
    <w:name w:val="Hyperlink"/>
    <w:basedOn w:val="DefaultParagraphFont"/>
    <w:uiPriority w:val="99"/>
    <w:unhideWhenUsed/>
    <w:rsid w:val="00601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2A9"/>
    <w:pPr>
      <w:ind w:left="720"/>
      <w:contextualSpacing/>
    </w:pPr>
  </w:style>
  <w:style w:type="table" w:styleId="TableGrid">
    <w:name w:val="Table Grid"/>
    <w:basedOn w:val="TableNormal"/>
    <w:uiPriority w:val="59"/>
    <w:rsid w:val="004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E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B7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75D2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LightList">
    <w:name w:val="Light List"/>
    <w:basedOn w:val="TableNormal"/>
    <w:uiPriority w:val="61"/>
    <w:rsid w:val="004124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E32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91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UlBz_W3kM" TargetMode="External"/><Relationship Id="rId13" Type="http://schemas.openxmlformats.org/officeDocument/2006/relationships/hyperlink" Target="https://www.mckinsey.com/business-functions/mckinsey-analytics/our-insigh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office/load-the-solver-add-in-in-excel-612926fc-d53b-46b4-872c-e24772f078ca" TargetMode="External"/><Relationship Id="rId12" Type="http://schemas.openxmlformats.org/officeDocument/2006/relationships/hyperlink" Target="https://hbr.org/topic/analy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sera.org/lecture/probability-statistics/6-1-decision-tree-analysis-Ox5a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cw.mit.edu/courses/sloan-school-of-management/15-071-the-analytics-edge-spring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ressit.com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Swee Siong Saul</dc:creator>
  <cp:keywords/>
  <dc:description/>
  <cp:lastModifiedBy>Francis Chu</cp:lastModifiedBy>
  <cp:revision>5</cp:revision>
  <cp:lastPrinted>2013-04-08T06:54:00Z</cp:lastPrinted>
  <dcterms:created xsi:type="dcterms:W3CDTF">2020-07-14T02:28:00Z</dcterms:created>
  <dcterms:modified xsi:type="dcterms:W3CDTF">2020-07-14T02:58:00Z</dcterms:modified>
</cp:coreProperties>
</file>