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FD0" w:rsidRDefault="00CB13BD">
      <w:pPr>
        <w:pStyle w:val="BodyText"/>
        <w:spacing w:before="75"/>
        <w:ind w:left="117" w:right="6509"/>
      </w:pPr>
      <w:bookmarkStart w:id="0" w:name="_GoBack"/>
      <w:bookmarkEnd w:id="0"/>
      <w:r>
        <w:t>National University of Singapore NUS Business School</w:t>
      </w:r>
    </w:p>
    <w:p w:rsidR="00554FD0" w:rsidRDefault="00CB13BD">
      <w:pPr>
        <w:pStyle w:val="BodyText"/>
        <w:ind w:left="117"/>
      </w:pPr>
      <w:r>
        <w:t>Department of Management and Organisation</w:t>
      </w:r>
    </w:p>
    <w:p w:rsidR="00554FD0" w:rsidRDefault="00554FD0">
      <w:pPr>
        <w:rPr>
          <w:b/>
          <w:sz w:val="24"/>
        </w:rPr>
      </w:pPr>
    </w:p>
    <w:p w:rsidR="00554FD0" w:rsidRDefault="00CB13BD">
      <w:pPr>
        <w:spacing w:before="207"/>
        <w:ind w:left="117"/>
        <w:rPr>
          <w:sz w:val="21"/>
        </w:rPr>
      </w:pPr>
      <w:r>
        <w:rPr>
          <w:b/>
          <w:sz w:val="21"/>
        </w:rPr>
        <w:t>Module</w:t>
      </w:r>
      <w:r>
        <w:rPr>
          <w:sz w:val="21"/>
        </w:rPr>
        <w:t xml:space="preserve">: </w:t>
      </w:r>
      <w:r>
        <w:rPr>
          <w:sz w:val="21"/>
          <w:u w:val="single"/>
        </w:rPr>
        <w:t>MNO1001X Management and Organization / MNO1706X Organizational Behavior</w:t>
      </w:r>
    </w:p>
    <w:p w:rsidR="00554FD0" w:rsidRDefault="00554FD0">
      <w:pPr>
        <w:spacing w:before="8"/>
        <w:rPr>
          <w:sz w:val="12"/>
        </w:rPr>
      </w:pPr>
    </w:p>
    <w:p w:rsidR="00554FD0" w:rsidRDefault="00CB13BD">
      <w:pPr>
        <w:spacing w:before="95"/>
        <w:ind w:left="117"/>
        <w:rPr>
          <w:sz w:val="21"/>
        </w:rPr>
      </w:pPr>
      <w:r>
        <w:rPr>
          <w:b/>
          <w:sz w:val="21"/>
        </w:rPr>
        <w:t>Session</w:t>
      </w:r>
      <w:r>
        <w:rPr>
          <w:sz w:val="21"/>
        </w:rPr>
        <w:t xml:space="preserve">: </w:t>
      </w:r>
      <w:r>
        <w:rPr>
          <w:sz w:val="21"/>
          <w:u w:val="single"/>
        </w:rPr>
        <w:t>Semester 1, AY2020/21</w:t>
      </w:r>
    </w:p>
    <w:p w:rsidR="00554FD0" w:rsidRDefault="00554FD0">
      <w:pPr>
        <w:spacing w:before="8"/>
        <w:rPr>
          <w:sz w:val="12"/>
        </w:rPr>
      </w:pPr>
    </w:p>
    <w:p w:rsidR="00554FD0" w:rsidRDefault="00CB13BD">
      <w:pPr>
        <w:tabs>
          <w:tab w:val="left" w:pos="2952"/>
        </w:tabs>
        <w:spacing w:before="95"/>
        <w:ind w:left="117"/>
        <w:rPr>
          <w:sz w:val="21"/>
        </w:rPr>
      </w:pPr>
      <w:r>
        <w:rPr>
          <w:b/>
          <w:sz w:val="21"/>
        </w:rPr>
        <w:t>Instructor</w:t>
      </w:r>
      <w:r>
        <w:rPr>
          <w:sz w:val="21"/>
        </w:rPr>
        <w:t xml:space="preserve">: </w:t>
      </w:r>
      <w:r>
        <w:rPr>
          <w:sz w:val="21"/>
          <w:u w:val="single"/>
        </w:rPr>
        <w:t>Lowe</w:t>
      </w:r>
      <w:r>
        <w:rPr>
          <w:spacing w:val="-2"/>
          <w:sz w:val="21"/>
          <w:u w:val="single"/>
        </w:rPr>
        <w:t xml:space="preserve"> </w:t>
      </w:r>
      <w:r>
        <w:rPr>
          <w:sz w:val="21"/>
          <w:u w:val="single"/>
        </w:rPr>
        <w:t>Joo</w:t>
      </w:r>
      <w:r>
        <w:rPr>
          <w:spacing w:val="-3"/>
          <w:sz w:val="21"/>
          <w:u w:val="single"/>
        </w:rPr>
        <w:t xml:space="preserve"> </w:t>
      </w:r>
      <w:r>
        <w:rPr>
          <w:sz w:val="21"/>
          <w:u w:val="single"/>
        </w:rPr>
        <w:t>Yong</w:t>
      </w:r>
      <w:r>
        <w:rPr>
          <w:sz w:val="21"/>
        </w:rPr>
        <w:tab/>
      </w:r>
      <w:hyperlink r:id="rId7">
        <w:r>
          <w:rPr>
            <w:sz w:val="21"/>
          </w:rPr>
          <w:t>jooyong@nus.edu.sg</w:t>
        </w:r>
      </w:hyperlink>
    </w:p>
    <w:p w:rsidR="00554FD0" w:rsidRDefault="00554FD0">
      <w:pPr>
        <w:rPr>
          <w:sz w:val="20"/>
        </w:rPr>
      </w:pPr>
    </w:p>
    <w:p w:rsidR="00554FD0" w:rsidRDefault="00554FD0">
      <w:pPr>
        <w:rPr>
          <w:sz w:val="20"/>
        </w:rPr>
      </w:pPr>
    </w:p>
    <w:p w:rsidR="00554FD0" w:rsidRDefault="00554FD0">
      <w:pPr>
        <w:spacing w:before="2" w:after="1"/>
        <w:rPr>
          <w:sz w:val="11"/>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92"/>
      </w:tblGrid>
      <w:tr w:rsidR="00554FD0">
        <w:trPr>
          <w:trHeight w:val="2676"/>
        </w:trPr>
        <w:tc>
          <w:tcPr>
            <w:tcW w:w="9592" w:type="dxa"/>
            <w:tcBorders>
              <w:right w:val="dotted" w:sz="4" w:space="0" w:color="000000"/>
            </w:tcBorders>
          </w:tcPr>
          <w:p w:rsidR="00554FD0" w:rsidRDefault="00CB13BD">
            <w:pPr>
              <w:pStyle w:val="TableParagraph"/>
              <w:spacing w:before="131"/>
              <w:rPr>
                <w:sz w:val="20"/>
              </w:rPr>
            </w:pPr>
            <w:r>
              <w:rPr>
                <w:b/>
                <w:sz w:val="20"/>
              </w:rPr>
              <w:t>Module Description</w:t>
            </w:r>
            <w:r>
              <w:rPr>
                <w:sz w:val="20"/>
              </w:rPr>
              <w:t>:</w:t>
            </w:r>
          </w:p>
          <w:p w:rsidR="00554FD0" w:rsidRDefault="00554FD0">
            <w:pPr>
              <w:pStyle w:val="TableParagraph"/>
              <w:spacing w:before="1"/>
              <w:ind w:left="0"/>
              <w:rPr>
                <w:sz w:val="20"/>
              </w:rPr>
            </w:pPr>
          </w:p>
          <w:p w:rsidR="00554FD0" w:rsidRDefault="00CB13BD">
            <w:pPr>
              <w:pStyle w:val="TableParagraph"/>
              <w:spacing w:before="1"/>
              <w:ind w:right="248"/>
              <w:rPr>
                <w:sz w:val="20"/>
              </w:rPr>
            </w:pPr>
            <w:r>
              <w:rPr>
                <w:sz w:val="20"/>
              </w:rPr>
              <w:t>This module provides students with a systematic study of behaviors and attitudes of people in organizations. Through a variety of theories and frameworks, students will d</w:t>
            </w:r>
            <w:r>
              <w:rPr>
                <w:sz w:val="20"/>
              </w:rPr>
              <w:t>evelop an understanding of why people feel and behave the way they do in organizations. Factors that influence organizational members and the processes through which they exert influence will be examined. The knowledge gained will provide guidance in decis</w:t>
            </w:r>
            <w:r>
              <w:rPr>
                <w:sz w:val="20"/>
              </w:rPr>
              <w:t>ion-making that affects behaviors of organizational members.</w:t>
            </w:r>
          </w:p>
          <w:p w:rsidR="00554FD0" w:rsidRDefault="00554FD0">
            <w:pPr>
              <w:pStyle w:val="TableParagraph"/>
              <w:spacing w:before="11"/>
              <w:ind w:left="0"/>
              <w:rPr>
                <w:sz w:val="19"/>
              </w:rPr>
            </w:pPr>
          </w:p>
          <w:p w:rsidR="00554FD0" w:rsidRDefault="00CB13BD">
            <w:pPr>
              <w:pStyle w:val="TableParagraph"/>
              <w:ind w:right="1060"/>
              <w:rPr>
                <w:sz w:val="20"/>
              </w:rPr>
            </w:pPr>
            <w:r>
              <w:rPr>
                <w:sz w:val="20"/>
              </w:rPr>
              <w:t>Major topics covered include Individual Behaviors and Processes, Social and Group Processes, Leadership and Influence Processes and Organizational Processes.</w:t>
            </w:r>
          </w:p>
        </w:tc>
      </w:tr>
      <w:tr w:rsidR="00554FD0">
        <w:trPr>
          <w:trHeight w:val="1528"/>
        </w:trPr>
        <w:tc>
          <w:tcPr>
            <w:tcW w:w="9592" w:type="dxa"/>
            <w:tcBorders>
              <w:right w:val="dotted" w:sz="4" w:space="0" w:color="000000"/>
            </w:tcBorders>
          </w:tcPr>
          <w:p w:rsidR="00554FD0" w:rsidRDefault="00CB13BD">
            <w:pPr>
              <w:pStyle w:val="TableParagraph"/>
              <w:spacing w:before="134"/>
              <w:rPr>
                <w:sz w:val="20"/>
              </w:rPr>
            </w:pPr>
            <w:r>
              <w:rPr>
                <w:b/>
                <w:sz w:val="20"/>
              </w:rPr>
              <w:t>Learning Outcomes</w:t>
            </w:r>
            <w:r>
              <w:rPr>
                <w:sz w:val="20"/>
              </w:rPr>
              <w:t>:</w:t>
            </w:r>
          </w:p>
          <w:p w:rsidR="00554FD0" w:rsidRDefault="00554FD0">
            <w:pPr>
              <w:pStyle w:val="TableParagraph"/>
              <w:ind w:left="0"/>
              <w:rPr>
                <w:sz w:val="20"/>
              </w:rPr>
            </w:pPr>
          </w:p>
          <w:p w:rsidR="00554FD0" w:rsidRDefault="00CB13BD">
            <w:pPr>
              <w:pStyle w:val="TableParagraph"/>
              <w:numPr>
                <w:ilvl w:val="0"/>
                <w:numId w:val="3"/>
              </w:numPr>
              <w:tabs>
                <w:tab w:val="left" w:pos="610"/>
              </w:tabs>
              <w:rPr>
                <w:sz w:val="20"/>
              </w:rPr>
            </w:pPr>
            <w:r>
              <w:rPr>
                <w:sz w:val="20"/>
              </w:rPr>
              <w:t>To gain an understanding of behaviors and attitudes within</w:t>
            </w:r>
            <w:r>
              <w:rPr>
                <w:spacing w:val="-4"/>
                <w:sz w:val="20"/>
              </w:rPr>
              <w:t xml:space="preserve"> </w:t>
            </w:r>
            <w:r>
              <w:rPr>
                <w:sz w:val="20"/>
              </w:rPr>
              <w:t>organizations</w:t>
            </w:r>
          </w:p>
          <w:p w:rsidR="00554FD0" w:rsidRDefault="00CB13BD">
            <w:pPr>
              <w:pStyle w:val="TableParagraph"/>
              <w:numPr>
                <w:ilvl w:val="0"/>
                <w:numId w:val="3"/>
              </w:numPr>
              <w:tabs>
                <w:tab w:val="left" w:pos="610"/>
              </w:tabs>
              <w:spacing w:before="1"/>
              <w:rPr>
                <w:sz w:val="20"/>
              </w:rPr>
            </w:pPr>
            <w:r>
              <w:rPr>
                <w:sz w:val="20"/>
              </w:rPr>
              <w:t>To appreciate the interpersonal processes central to all</w:t>
            </w:r>
            <w:r>
              <w:rPr>
                <w:spacing w:val="-12"/>
                <w:sz w:val="20"/>
              </w:rPr>
              <w:t xml:space="preserve"> </w:t>
            </w:r>
            <w:r>
              <w:rPr>
                <w:sz w:val="20"/>
              </w:rPr>
              <w:t>organizations</w:t>
            </w:r>
          </w:p>
          <w:p w:rsidR="00554FD0" w:rsidRDefault="00CB13BD">
            <w:pPr>
              <w:pStyle w:val="TableParagraph"/>
              <w:numPr>
                <w:ilvl w:val="0"/>
                <w:numId w:val="3"/>
              </w:numPr>
              <w:tabs>
                <w:tab w:val="left" w:pos="610"/>
              </w:tabs>
              <w:spacing w:before="1"/>
              <w:rPr>
                <w:sz w:val="20"/>
              </w:rPr>
            </w:pPr>
            <w:r>
              <w:rPr>
                <w:sz w:val="20"/>
              </w:rPr>
              <w:t>To develop the ability to influence behaviors and attitudes in</w:t>
            </w:r>
            <w:r>
              <w:rPr>
                <w:spacing w:val="-1"/>
                <w:sz w:val="20"/>
              </w:rPr>
              <w:t xml:space="preserve"> </w:t>
            </w:r>
            <w:r>
              <w:rPr>
                <w:sz w:val="20"/>
              </w:rPr>
              <w:t>organizations</w:t>
            </w:r>
          </w:p>
        </w:tc>
      </w:tr>
      <w:tr w:rsidR="00554FD0">
        <w:trPr>
          <w:trHeight w:val="3516"/>
        </w:trPr>
        <w:tc>
          <w:tcPr>
            <w:tcW w:w="9592" w:type="dxa"/>
            <w:tcBorders>
              <w:right w:val="dotted" w:sz="4" w:space="0" w:color="000000"/>
            </w:tcBorders>
          </w:tcPr>
          <w:p w:rsidR="00554FD0" w:rsidRDefault="00CB13BD">
            <w:pPr>
              <w:pStyle w:val="TableParagraph"/>
              <w:spacing w:before="134"/>
              <w:rPr>
                <w:sz w:val="20"/>
              </w:rPr>
            </w:pPr>
            <w:r>
              <w:rPr>
                <w:b/>
                <w:sz w:val="20"/>
              </w:rPr>
              <w:t>Modes of Teaching and Learning</w:t>
            </w:r>
            <w:r>
              <w:rPr>
                <w:sz w:val="20"/>
              </w:rPr>
              <w:t>:</w:t>
            </w:r>
          </w:p>
          <w:p w:rsidR="00554FD0" w:rsidRDefault="00554FD0">
            <w:pPr>
              <w:pStyle w:val="TableParagraph"/>
              <w:spacing w:before="5"/>
              <w:ind w:left="0"/>
              <w:rPr>
                <w:sz w:val="30"/>
              </w:rPr>
            </w:pPr>
          </w:p>
          <w:p w:rsidR="00554FD0" w:rsidRDefault="00CB13BD">
            <w:pPr>
              <w:pStyle w:val="TableParagraph"/>
              <w:rPr>
                <w:sz w:val="20"/>
              </w:rPr>
            </w:pPr>
            <w:r>
              <w:rPr>
                <w:sz w:val="20"/>
              </w:rPr>
              <w:t>The module will be conducted using the lecture-tutorial format:</w:t>
            </w:r>
          </w:p>
          <w:p w:rsidR="00554FD0" w:rsidRDefault="00CB13BD">
            <w:pPr>
              <w:pStyle w:val="TableParagraph"/>
              <w:numPr>
                <w:ilvl w:val="0"/>
                <w:numId w:val="2"/>
              </w:numPr>
              <w:tabs>
                <w:tab w:val="left" w:pos="763"/>
                <w:tab w:val="left" w:pos="764"/>
              </w:tabs>
              <w:spacing w:before="2" w:line="244" w:lineRule="exact"/>
              <w:ind w:hanging="361"/>
              <w:rPr>
                <w:sz w:val="20"/>
              </w:rPr>
            </w:pPr>
            <w:r>
              <w:rPr>
                <w:sz w:val="20"/>
              </w:rPr>
              <w:t>Lecture : 2 hours every</w:t>
            </w:r>
            <w:r>
              <w:rPr>
                <w:spacing w:val="2"/>
                <w:sz w:val="20"/>
              </w:rPr>
              <w:t xml:space="preserve"> </w:t>
            </w:r>
            <w:r>
              <w:rPr>
                <w:sz w:val="20"/>
              </w:rPr>
              <w:t>week</w:t>
            </w:r>
          </w:p>
          <w:p w:rsidR="00554FD0" w:rsidRDefault="00CB13BD">
            <w:pPr>
              <w:pStyle w:val="TableParagraph"/>
              <w:numPr>
                <w:ilvl w:val="0"/>
                <w:numId w:val="2"/>
              </w:numPr>
              <w:tabs>
                <w:tab w:val="left" w:pos="763"/>
                <w:tab w:val="left" w:pos="764"/>
              </w:tabs>
              <w:spacing w:line="244" w:lineRule="exact"/>
              <w:ind w:hanging="361"/>
              <w:rPr>
                <w:sz w:val="20"/>
              </w:rPr>
            </w:pPr>
            <w:r>
              <w:rPr>
                <w:sz w:val="20"/>
              </w:rPr>
              <w:t>Tutorials : 2 hours every alternate</w:t>
            </w:r>
            <w:r>
              <w:rPr>
                <w:spacing w:val="2"/>
                <w:sz w:val="20"/>
              </w:rPr>
              <w:t xml:space="preserve"> </w:t>
            </w:r>
            <w:r>
              <w:rPr>
                <w:sz w:val="20"/>
              </w:rPr>
              <w:t>week</w:t>
            </w:r>
          </w:p>
          <w:p w:rsidR="00554FD0" w:rsidRDefault="00554FD0">
            <w:pPr>
              <w:pStyle w:val="TableParagraph"/>
              <w:spacing w:before="8"/>
              <w:ind w:left="0"/>
              <w:rPr>
                <w:sz w:val="19"/>
              </w:rPr>
            </w:pPr>
          </w:p>
          <w:p w:rsidR="00554FD0" w:rsidRDefault="00CB13BD">
            <w:pPr>
              <w:pStyle w:val="TableParagraph"/>
              <w:rPr>
                <w:sz w:val="20"/>
              </w:rPr>
            </w:pPr>
            <w:r>
              <w:rPr>
                <w:sz w:val="20"/>
              </w:rPr>
              <w:t>Lecture</w:t>
            </w:r>
          </w:p>
          <w:p w:rsidR="00554FD0" w:rsidRDefault="00CB13BD">
            <w:pPr>
              <w:pStyle w:val="TableParagraph"/>
              <w:ind w:right="7048"/>
              <w:jc w:val="both"/>
              <w:rPr>
                <w:sz w:val="20"/>
              </w:rPr>
            </w:pPr>
            <w:r>
              <w:rPr>
                <w:sz w:val="20"/>
              </w:rPr>
              <w:t>Tutorial in-class discussions Online learning via Luminus Case discussions</w:t>
            </w:r>
          </w:p>
          <w:p w:rsidR="00554FD0" w:rsidRDefault="00CB13BD">
            <w:pPr>
              <w:pStyle w:val="TableParagraph"/>
              <w:spacing w:before="2" w:line="229" w:lineRule="exact"/>
              <w:rPr>
                <w:sz w:val="20"/>
              </w:rPr>
            </w:pPr>
            <w:r>
              <w:rPr>
                <w:sz w:val="20"/>
              </w:rPr>
              <w:t>Videos</w:t>
            </w:r>
          </w:p>
          <w:p w:rsidR="00554FD0" w:rsidRDefault="00CB13BD">
            <w:pPr>
              <w:pStyle w:val="TableParagraph"/>
              <w:ind w:right="5324"/>
              <w:rPr>
                <w:sz w:val="20"/>
              </w:rPr>
            </w:pPr>
            <w:r>
              <w:rPr>
                <w:sz w:val="20"/>
              </w:rPr>
              <w:t>Oral presentations and written assignments Test</w:t>
            </w:r>
          </w:p>
        </w:tc>
      </w:tr>
      <w:tr w:rsidR="00554FD0">
        <w:trPr>
          <w:trHeight w:val="3948"/>
        </w:trPr>
        <w:tc>
          <w:tcPr>
            <w:tcW w:w="9592" w:type="dxa"/>
            <w:tcBorders>
              <w:right w:val="dotted" w:sz="4" w:space="0" w:color="000000"/>
            </w:tcBorders>
          </w:tcPr>
          <w:p w:rsidR="00554FD0" w:rsidRDefault="00CB13BD">
            <w:pPr>
              <w:pStyle w:val="TableParagraph"/>
              <w:spacing w:before="134"/>
              <w:rPr>
                <w:sz w:val="20"/>
              </w:rPr>
            </w:pPr>
            <w:r>
              <w:rPr>
                <w:b/>
                <w:sz w:val="20"/>
              </w:rPr>
              <w:t>Syllabus</w:t>
            </w:r>
            <w:r>
              <w:rPr>
                <w:sz w:val="20"/>
              </w:rPr>
              <w:t>:</w:t>
            </w:r>
          </w:p>
          <w:p w:rsidR="00554FD0" w:rsidRDefault="00554FD0">
            <w:pPr>
              <w:pStyle w:val="TableParagraph"/>
              <w:spacing w:before="3"/>
              <w:ind w:left="0"/>
              <w:rPr>
                <w:sz w:val="30"/>
              </w:rPr>
            </w:pPr>
          </w:p>
          <w:p w:rsidR="00554FD0" w:rsidRDefault="00CB13BD">
            <w:pPr>
              <w:pStyle w:val="TableParagraph"/>
              <w:rPr>
                <w:sz w:val="20"/>
              </w:rPr>
            </w:pPr>
            <w:r>
              <w:rPr>
                <w:sz w:val="20"/>
              </w:rPr>
              <w:t>Key topics include:</w:t>
            </w:r>
          </w:p>
          <w:p w:rsidR="00554FD0" w:rsidRDefault="00554FD0">
            <w:pPr>
              <w:pStyle w:val="TableParagraph"/>
              <w:spacing w:before="1"/>
              <w:ind w:left="0"/>
              <w:rPr>
                <w:sz w:val="20"/>
              </w:rPr>
            </w:pPr>
          </w:p>
          <w:p w:rsidR="00554FD0" w:rsidRDefault="00CB13BD">
            <w:pPr>
              <w:pStyle w:val="TableParagraph"/>
              <w:rPr>
                <w:sz w:val="20"/>
              </w:rPr>
            </w:pPr>
            <w:r>
              <w:rPr>
                <w:sz w:val="20"/>
              </w:rPr>
              <w:t>Individual Behaviors and Processes</w:t>
            </w:r>
          </w:p>
          <w:p w:rsidR="00554FD0" w:rsidRDefault="00CB13BD">
            <w:pPr>
              <w:pStyle w:val="TableParagraph"/>
              <w:numPr>
                <w:ilvl w:val="0"/>
                <w:numId w:val="1"/>
              </w:numPr>
              <w:tabs>
                <w:tab w:val="left" w:pos="166"/>
              </w:tabs>
              <w:ind w:hanging="124"/>
              <w:rPr>
                <w:sz w:val="20"/>
              </w:rPr>
            </w:pPr>
            <w:r>
              <w:rPr>
                <w:sz w:val="20"/>
              </w:rPr>
              <w:t>Personality, Values, Perception and</w:t>
            </w:r>
            <w:r>
              <w:rPr>
                <w:spacing w:val="2"/>
                <w:sz w:val="20"/>
              </w:rPr>
              <w:t xml:space="preserve"> </w:t>
            </w:r>
            <w:r>
              <w:rPr>
                <w:sz w:val="20"/>
              </w:rPr>
              <w:t>Motivation</w:t>
            </w:r>
          </w:p>
          <w:p w:rsidR="00554FD0" w:rsidRDefault="00554FD0">
            <w:pPr>
              <w:pStyle w:val="TableParagraph"/>
              <w:spacing w:before="10"/>
              <w:ind w:left="0"/>
              <w:rPr>
                <w:sz w:val="19"/>
              </w:rPr>
            </w:pPr>
          </w:p>
          <w:p w:rsidR="00554FD0" w:rsidRDefault="00CB13BD">
            <w:pPr>
              <w:pStyle w:val="TableParagraph"/>
              <w:spacing w:before="1"/>
              <w:rPr>
                <w:sz w:val="20"/>
              </w:rPr>
            </w:pPr>
            <w:r>
              <w:rPr>
                <w:sz w:val="20"/>
              </w:rPr>
              <w:t>Social and Group Processes</w:t>
            </w:r>
          </w:p>
          <w:p w:rsidR="00554FD0" w:rsidRDefault="00CB13BD">
            <w:pPr>
              <w:pStyle w:val="TableParagraph"/>
              <w:numPr>
                <w:ilvl w:val="0"/>
                <w:numId w:val="1"/>
              </w:numPr>
              <w:tabs>
                <w:tab w:val="left" w:pos="166"/>
              </w:tabs>
              <w:ind w:hanging="124"/>
              <w:rPr>
                <w:sz w:val="20"/>
              </w:rPr>
            </w:pPr>
            <w:r>
              <w:rPr>
                <w:sz w:val="20"/>
              </w:rPr>
              <w:t>Groups, Decisions, and Managing</w:t>
            </w:r>
            <w:r>
              <w:rPr>
                <w:spacing w:val="-1"/>
                <w:sz w:val="20"/>
              </w:rPr>
              <w:t xml:space="preserve"> </w:t>
            </w:r>
            <w:r>
              <w:rPr>
                <w:sz w:val="20"/>
              </w:rPr>
              <w:t>Conflict</w:t>
            </w:r>
          </w:p>
          <w:p w:rsidR="00554FD0" w:rsidRDefault="00554FD0">
            <w:pPr>
              <w:pStyle w:val="TableParagraph"/>
              <w:spacing w:before="1"/>
              <w:ind w:left="0"/>
              <w:rPr>
                <w:sz w:val="20"/>
              </w:rPr>
            </w:pPr>
          </w:p>
          <w:p w:rsidR="00554FD0" w:rsidRDefault="00CB13BD">
            <w:pPr>
              <w:pStyle w:val="TableParagraph"/>
              <w:rPr>
                <w:sz w:val="20"/>
              </w:rPr>
            </w:pPr>
            <w:r>
              <w:rPr>
                <w:sz w:val="20"/>
              </w:rPr>
              <w:t>Leadership and Influence Processes</w:t>
            </w:r>
          </w:p>
          <w:p w:rsidR="00554FD0" w:rsidRDefault="00CB13BD">
            <w:pPr>
              <w:pStyle w:val="TableParagraph"/>
              <w:numPr>
                <w:ilvl w:val="0"/>
                <w:numId w:val="1"/>
              </w:numPr>
              <w:tabs>
                <w:tab w:val="left" w:pos="166"/>
              </w:tabs>
              <w:ind w:hanging="124"/>
              <w:rPr>
                <w:sz w:val="20"/>
              </w:rPr>
            </w:pPr>
            <w:r>
              <w:rPr>
                <w:sz w:val="20"/>
              </w:rPr>
              <w:t>Leadership and</w:t>
            </w:r>
            <w:r>
              <w:rPr>
                <w:spacing w:val="-7"/>
                <w:sz w:val="20"/>
              </w:rPr>
              <w:t xml:space="preserve"> </w:t>
            </w:r>
            <w:r>
              <w:rPr>
                <w:sz w:val="20"/>
              </w:rPr>
              <w:t>Power</w:t>
            </w:r>
          </w:p>
          <w:p w:rsidR="00554FD0" w:rsidRDefault="00554FD0">
            <w:pPr>
              <w:pStyle w:val="TableParagraph"/>
              <w:spacing w:before="10"/>
              <w:ind w:left="0"/>
              <w:rPr>
                <w:sz w:val="19"/>
              </w:rPr>
            </w:pPr>
          </w:p>
          <w:p w:rsidR="00554FD0" w:rsidRDefault="00CB13BD">
            <w:pPr>
              <w:pStyle w:val="TableParagraph"/>
              <w:rPr>
                <w:sz w:val="20"/>
              </w:rPr>
            </w:pPr>
            <w:r>
              <w:rPr>
                <w:sz w:val="20"/>
              </w:rPr>
              <w:t>Organizational</w:t>
            </w:r>
            <w:r>
              <w:rPr>
                <w:spacing w:val="-10"/>
                <w:sz w:val="20"/>
              </w:rPr>
              <w:t xml:space="preserve"> </w:t>
            </w:r>
            <w:r>
              <w:rPr>
                <w:sz w:val="20"/>
              </w:rPr>
              <w:t>Processes</w:t>
            </w:r>
          </w:p>
          <w:p w:rsidR="00554FD0" w:rsidRDefault="00CB13BD">
            <w:pPr>
              <w:pStyle w:val="TableParagraph"/>
              <w:numPr>
                <w:ilvl w:val="0"/>
                <w:numId w:val="1"/>
              </w:numPr>
              <w:tabs>
                <w:tab w:val="left" w:pos="166"/>
              </w:tabs>
              <w:spacing w:before="1"/>
              <w:ind w:hanging="124"/>
              <w:rPr>
                <w:sz w:val="20"/>
              </w:rPr>
            </w:pPr>
            <w:r>
              <w:rPr>
                <w:sz w:val="20"/>
              </w:rPr>
              <w:t>Organizational Culture and Managing</w:t>
            </w:r>
            <w:r>
              <w:rPr>
                <w:spacing w:val="-2"/>
                <w:sz w:val="20"/>
              </w:rPr>
              <w:t xml:space="preserve"> </w:t>
            </w:r>
            <w:r>
              <w:rPr>
                <w:sz w:val="20"/>
              </w:rPr>
              <w:t>Change</w:t>
            </w:r>
          </w:p>
        </w:tc>
      </w:tr>
    </w:tbl>
    <w:p w:rsidR="00554FD0" w:rsidRDefault="00554FD0">
      <w:pPr>
        <w:rPr>
          <w:sz w:val="20"/>
        </w:rPr>
        <w:sectPr w:rsidR="00554FD0">
          <w:footerReference w:type="default" r:id="rId8"/>
          <w:type w:val="continuous"/>
          <w:pgSz w:w="11910" w:h="16850"/>
          <w:pgMar w:top="920" w:right="1000" w:bottom="740" w:left="1020" w:header="720" w:footer="553" w:gutter="0"/>
          <w:pgNumType w:start="1"/>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92"/>
      </w:tblGrid>
      <w:tr w:rsidR="00554FD0">
        <w:trPr>
          <w:trHeight w:val="1780"/>
        </w:trPr>
        <w:tc>
          <w:tcPr>
            <w:tcW w:w="9592" w:type="dxa"/>
            <w:tcBorders>
              <w:right w:val="dotted" w:sz="4" w:space="0" w:color="000000"/>
            </w:tcBorders>
          </w:tcPr>
          <w:p w:rsidR="00554FD0" w:rsidRDefault="00CB13BD">
            <w:pPr>
              <w:pStyle w:val="TableParagraph"/>
              <w:spacing w:before="129"/>
              <w:rPr>
                <w:sz w:val="20"/>
              </w:rPr>
            </w:pPr>
            <w:r>
              <w:rPr>
                <w:b/>
                <w:sz w:val="20"/>
              </w:rPr>
              <w:lastRenderedPageBreak/>
              <w:t>Text</w:t>
            </w:r>
            <w:r>
              <w:rPr>
                <w:sz w:val="20"/>
              </w:rPr>
              <w:t>:</w:t>
            </w:r>
          </w:p>
          <w:p w:rsidR="00554FD0" w:rsidRDefault="00554FD0">
            <w:pPr>
              <w:pStyle w:val="TableParagraph"/>
              <w:spacing w:before="3"/>
              <w:ind w:left="0"/>
              <w:rPr>
                <w:sz w:val="24"/>
              </w:rPr>
            </w:pPr>
          </w:p>
          <w:p w:rsidR="00554FD0" w:rsidRDefault="00CB13BD">
            <w:pPr>
              <w:pStyle w:val="TableParagraph"/>
              <w:ind w:right="277"/>
              <w:rPr>
                <w:rFonts w:ascii="Calibri"/>
                <w:sz w:val="23"/>
              </w:rPr>
            </w:pPr>
            <w:r>
              <w:rPr>
                <w:rFonts w:ascii="Calibri"/>
                <w:sz w:val="23"/>
              </w:rPr>
              <w:t>Lim, G. S., Chia, Audrey, Wu, P. C., Griffin, R. W., Phillips, J. M., &amp; Gully, S. M. (2019). Organizational Behavior: An Asian Perspective. Singapore: Cengage Learning Asia. ISBN: 978-981-4846-88-2.</w:t>
            </w:r>
          </w:p>
        </w:tc>
      </w:tr>
      <w:tr w:rsidR="00554FD0">
        <w:trPr>
          <w:trHeight w:val="2448"/>
        </w:trPr>
        <w:tc>
          <w:tcPr>
            <w:tcW w:w="9592" w:type="dxa"/>
            <w:tcBorders>
              <w:right w:val="dotted" w:sz="4" w:space="0" w:color="000000"/>
            </w:tcBorders>
          </w:tcPr>
          <w:p w:rsidR="00554FD0" w:rsidRDefault="00CB13BD">
            <w:pPr>
              <w:pStyle w:val="TableParagraph"/>
              <w:spacing w:before="129"/>
              <w:jc w:val="both"/>
              <w:rPr>
                <w:sz w:val="20"/>
              </w:rPr>
            </w:pPr>
            <w:r>
              <w:rPr>
                <w:b/>
                <w:sz w:val="20"/>
              </w:rPr>
              <w:t>Assessment (%)</w:t>
            </w:r>
            <w:r>
              <w:rPr>
                <w:sz w:val="20"/>
              </w:rPr>
              <w:t>:</w:t>
            </w:r>
          </w:p>
          <w:p w:rsidR="00554FD0" w:rsidRDefault="00554FD0">
            <w:pPr>
              <w:pStyle w:val="TableParagraph"/>
              <w:spacing w:before="9"/>
              <w:ind w:left="0"/>
              <w:rPr>
                <w:sz w:val="19"/>
              </w:rPr>
            </w:pPr>
          </w:p>
          <w:p w:rsidR="00554FD0" w:rsidRDefault="00CB13BD">
            <w:pPr>
              <w:pStyle w:val="TableParagraph"/>
              <w:tabs>
                <w:tab w:val="left" w:pos="2599"/>
              </w:tabs>
              <w:spacing w:before="1"/>
              <w:ind w:right="6549"/>
              <w:jc w:val="both"/>
              <w:rPr>
                <w:sz w:val="20"/>
              </w:rPr>
            </w:pPr>
            <w:r>
              <w:rPr>
                <w:sz w:val="20"/>
              </w:rPr>
              <w:t>CA1 Subject Pool Exercise 10% CA2 Class</w:t>
            </w:r>
            <w:r>
              <w:rPr>
                <w:sz w:val="20"/>
              </w:rPr>
              <w:t xml:space="preserve"> participaton   20% CA3</w:t>
            </w:r>
            <w:r>
              <w:rPr>
                <w:spacing w:val="-2"/>
                <w:sz w:val="20"/>
              </w:rPr>
              <w:t xml:space="preserve"> </w:t>
            </w:r>
            <w:r>
              <w:rPr>
                <w:sz w:val="20"/>
              </w:rPr>
              <w:t>Test</w:t>
            </w:r>
            <w:r>
              <w:rPr>
                <w:sz w:val="20"/>
              </w:rPr>
              <w:tab/>
              <w:t>30%</w:t>
            </w:r>
          </w:p>
          <w:p w:rsidR="00554FD0" w:rsidRDefault="00CB13BD">
            <w:pPr>
              <w:pStyle w:val="TableParagraph"/>
              <w:tabs>
                <w:tab w:val="left" w:pos="2608"/>
              </w:tabs>
              <w:spacing w:before="1"/>
              <w:jc w:val="both"/>
              <w:rPr>
                <w:sz w:val="20"/>
              </w:rPr>
            </w:pPr>
            <w:r>
              <w:rPr>
                <w:sz w:val="20"/>
              </w:rPr>
              <w:t>CA4</w:t>
            </w:r>
            <w:r>
              <w:rPr>
                <w:spacing w:val="-3"/>
                <w:sz w:val="20"/>
              </w:rPr>
              <w:t xml:space="preserve"> </w:t>
            </w:r>
            <w:r>
              <w:rPr>
                <w:sz w:val="20"/>
              </w:rPr>
              <w:t>Group</w:t>
            </w:r>
            <w:r>
              <w:rPr>
                <w:spacing w:val="-1"/>
                <w:sz w:val="20"/>
              </w:rPr>
              <w:t xml:space="preserve"> </w:t>
            </w:r>
            <w:r>
              <w:rPr>
                <w:sz w:val="20"/>
              </w:rPr>
              <w:t>Project</w:t>
            </w:r>
            <w:r>
              <w:rPr>
                <w:sz w:val="20"/>
              </w:rPr>
              <w:tab/>
              <w:t>40%</w:t>
            </w:r>
          </w:p>
          <w:p w:rsidR="00554FD0" w:rsidRDefault="00554FD0">
            <w:pPr>
              <w:pStyle w:val="TableParagraph"/>
              <w:spacing w:before="1"/>
              <w:ind w:left="0"/>
              <w:rPr>
                <w:sz w:val="20"/>
              </w:rPr>
            </w:pPr>
          </w:p>
          <w:p w:rsidR="00554FD0" w:rsidRDefault="00CB13BD">
            <w:pPr>
              <w:pStyle w:val="TableParagraph"/>
              <w:ind w:right="83"/>
              <w:rPr>
                <w:b/>
                <w:sz w:val="20"/>
              </w:rPr>
            </w:pPr>
            <w:r>
              <w:rPr>
                <w:b/>
                <w:sz w:val="20"/>
              </w:rPr>
              <w:t xml:space="preserve">Test is </w:t>
            </w:r>
            <w:r>
              <w:rPr>
                <w:b/>
                <w:sz w:val="20"/>
                <w:u w:val="thick"/>
              </w:rPr>
              <w:t>tentatively</w:t>
            </w:r>
            <w:r>
              <w:rPr>
                <w:b/>
                <w:sz w:val="20"/>
              </w:rPr>
              <w:t xml:space="preserve"> scheduled on </w:t>
            </w:r>
            <w:r>
              <w:rPr>
                <w:b/>
                <w:sz w:val="20"/>
                <w:u w:val="thick"/>
              </w:rPr>
              <w:t xml:space="preserve">2 November 2020 </w:t>
            </w:r>
            <w:r>
              <w:rPr>
                <w:b/>
                <w:sz w:val="20"/>
              </w:rPr>
              <w:t>during lecture hours. Please stay updated for the the final confirmed date.</w:t>
            </w:r>
          </w:p>
        </w:tc>
      </w:tr>
      <w:tr w:rsidR="00554FD0">
        <w:trPr>
          <w:trHeight w:val="5438"/>
        </w:trPr>
        <w:tc>
          <w:tcPr>
            <w:tcW w:w="9592" w:type="dxa"/>
            <w:tcBorders>
              <w:right w:val="dotted" w:sz="4" w:space="0" w:color="000000"/>
            </w:tcBorders>
          </w:tcPr>
          <w:p w:rsidR="00554FD0" w:rsidRDefault="00CB13BD">
            <w:pPr>
              <w:pStyle w:val="TableParagraph"/>
              <w:spacing w:before="129"/>
              <w:rPr>
                <w:b/>
                <w:sz w:val="20"/>
              </w:rPr>
            </w:pPr>
            <w:r>
              <w:rPr>
                <w:b/>
                <w:sz w:val="20"/>
              </w:rPr>
              <w:t>ACADEMIC HONESTY &amp; PLAGIARISM</w:t>
            </w:r>
          </w:p>
          <w:p w:rsidR="00554FD0" w:rsidRDefault="00554FD0">
            <w:pPr>
              <w:pStyle w:val="TableParagraph"/>
              <w:spacing w:before="9"/>
              <w:ind w:left="0"/>
              <w:rPr>
                <w:sz w:val="19"/>
              </w:rPr>
            </w:pPr>
          </w:p>
          <w:p w:rsidR="00554FD0" w:rsidRDefault="00CB13BD">
            <w:pPr>
              <w:pStyle w:val="TableParagraph"/>
              <w:spacing w:before="1"/>
              <w:ind w:right="110"/>
              <w:rPr>
                <w:sz w:val="20"/>
              </w:rPr>
            </w:pPr>
            <w:r>
              <w:rPr>
                <w:sz w:val="20"/>
              </w:rPr>
              <w:t>Academic integrity and honesty is essential for the pursuit and acquisition of knowledge. The University and School expect every student to uphold academic integrity &amp; honesty at all times. Academic dishonesty is any misrepresentation with the intent to de</w:t>
            </w:r>
            <w:r>
              <w:rPr>
                <w:sz w:val="20"/>
              </w:rPr>
              <w:t>ceive, or failure to acknowledge the source, or falsification of information, or inaccuracy of statements, or cheating at examinations/tests, or inappropriate use of resources.</w:t>
            </w:r>
          </w:p>
          <w:p w:rsidR="00554FD0" w:rsidRDefault="00554FD0">
            <w:pPr>
              <w:pStyle w:val="TableParagraph"/>
              <w:ind w:left="0"/>
              <w:rPr>
                <w:sz w:val="20"/>
              </w:rPr>
            </w:pPr>
          </w:p>
          <w:p w:rsidR="00554FD0" w:rsidRDefault="00CB13BD">
            <w:pPr>
              <w:pStyle w:val="TableParagraph"/>
              <w:ind w:right="79"/>
              <w:rPr>
                <w:sz w:val="20"/>
              </w:rPr>
            </w:pPr>
            <w:r>
              <w:rPr>
                <w:sz w:val="20"/>
              </w:rPr>
              <w:t>Plagiarism is ‘the practice of taking someone else's work or ideas and passing</w:t>
            </w:r>
            <w:r>
              <w:rPr>
                <w:sz w:val="20"/>
              </w:rPr>
              <w:t xml:space="preserve"> them off as one's own' (The New Oxford Dictionary of English). The University and School will not condone plagiarism. Students should adopt this rule - You have the obligation to make clear to the assessor which is your own work, and which is the work of </w:t>
            </w:r>
            <w:r>
              <w:rPr>
                <w:sz w:val="20"/>
              </w:rPr>
              <w:t>others. Otherwise, your assessor is entitled to assume that everything being presented for assessment is being presented as entirely your own work. This is a minimum standard. In case of any doubts, you should consult your instructor.</w:t>
            </w:r>
          </w:p>
          <w:p w:rsidR="00554FD0" w:rsidRDefault="00554FD0">
            <w:pPr>
              <w:pStyle w:val="TableParagraph"/>
              <w:spacing w:before="1"/>
              <w:ind w:left="0"/>
              <w:rPr>
                <w:sz w:val="20"/>
              </w:rPr>
            </w:pPr>
          </w:p>
          <w:p w:rsidR="00554FD0" w:rsidRDefault="00CB13BD">
            <w:pPr>
              <w:pStyle w:val="TableParagraph"/>
              <w:rPr>
                <w:sz w:val="20"/>
              </w:rPr>
            </w:pPr>
            <w:r>
              <w:rPr>
                <w:sz w:val="20"/>
              </w:rPr>
              <w:t>Additional guidance is available at:</w:t>
            </w:r>
          </w:p>
          <w:p w:rsidR="00554FD0" w:rsidRDefault="00CB13BD">
            <w:pPr>
              <w:pStyle w:val="TableParagraph"/>
              <w:rPr>
                <w:b/>
                <w:sz w:val="20"/>
              </w:rPr>
            </w:pPr>
            <w:hyperlink r:id="rId9" w:anchor="NUSCodeofStudentConduct">
              <w:r>
                <w:rPr>
                  <w:b/>
                  <w:sz w:val="20"/>
                  <w:u w:val="thick"/>
                </w:rPr>
                <w:t>http://www.nus.edu.sg/registrar/adminpolicy/acceptance.html#NUSCodeofStudentConduct</w:t>
              </w:r>
            </w:hyperlink>
          </w:p>
          <w:p w:rsidR="00554FD0" w:rsidRDefault="00554FD0">
            <w:pPr>
              <w:pStyle w:val="TableParagraph"/>
              <w:ind w:left="0"/>
            </w:pPr>
          </w:p>
          <w:p w:rsidR="00554FD0" w:rsidRDefault="00554FD0">
            <w:pPr>
              <w:pStyle w:val="TableParagraph"/>
              <w:spacing w:before="1"/>
              <w:ind w:left="0"/>
              <w:rPr>
                <w:sz w:val="18"/>
              </w:rPr>
            </w:pPr>
          </w:p>
          <w:p w:rsidR="00554FD0" w:rsidRDefault="00CB13BD">
            <w:pPr>
              <w:pStyle w:val="TableParagraph"/>
              <w:spacing w:line="229" w:lineRule="exact"/>
              <w:rPr>
                <w:sz w:val="20"/>
              </w:rPr>
            </w:pPr>
            <w:r>
              <w:rPr>
                <w:sz w:val="20"/>
              </w:rPr>
              <w:t>Online Module on Plagiari</w:t>
            </w:r>
            <w:r>
              <w:rPr>
                <w:sz w:val="20"/>
              </w:rPr>
              <w:t>sm:</w:t>
            </w:r>
          </w:p>
          <w:p w:rsidR="00554FD0" w:rsidRDefault="00CB13BD">
            <w:pPr>
              <w:pStyle w:val="TableParagraph"/>
              <w:spacing w:line="229" w:lineRule="exact"/>
              <w:rPr>
                <w:b/>
                <w:sz w:val="20"/>
              </w:rPr>
            </w:pPr>
            <w:hyperlink r:id="rId10">
              <w:r>
                <w:rPr>
                  <w:b/>
                  <w:sz w:val="20"/>
                  <w:u w:val="thick"/>
                </w:rPr>
                <w:t>http://emodule.nus.edu.sg/ac/</w:t>
              </w:r>
            </w:hyperlink>
          </w:p>
        </w:tc>
      </w:tr>
    </w:tbl>
    <w:p w:rsidR="00CB13BD" w:rsidRDefault="00CB13BD"/>
    <w:sectPr w:rsidR="00CB13BD">
      <w:pgSz w:w="11910" w:h="16850"/>
      <w:pgMar w:top="1000" w:right="1000" w:bottom="740" w:left="1020" w:header="0" w:footer="5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3BD" w:rsidRDefault="00CB13BD">
      <w:r>
        <w:separator/>
      </w:r>
    </w:p>
  </w:endnote>
  <w:endnote w:type="continuationSeparator" w:id="0">
    <w:p w:rsidR="00CB13BD" w:rsidRDefault="00CB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FD0" w:rsidRDefault="0099468B">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3705225</wp:posOffset>
              </wp:positionH>
              <wp:positionV relativeFrom="page">
                <wp:posOffset>10152380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FD0" w:rsidRDefault="00CB13BD">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75pt;margin-top:799.4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" filled="f" stroked="f">
              <v:textbox inset="0,0,0,0">
                <w:txbxContent>
                  <w:p w:rsidR="00554FD0" w:rsidRDefault="00CB13BD">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3BD" w:rsidRDefault="00CB13BD">
      <w:r>
        <w:separator/>
      </w:r>
    </w:p>
  </w:footnote>
  <w:footnote w:type="continuationSeparator" w:id="0">
    <w:p w:rsidR="00CB13BD" w:rsidRDefault="00CB1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2AE0"/>
    <w:multiLevelType w:val="hybridMultilevel"/>
    <w:tmpl w:val="094E5DC0"/>
    <w:lvl w:ilvl="0" w:tplc="0394AE06">
      <w:numFmt w:val="bullet"/>
      <w:lvlText w:val="-"/>
      <w:lvlJc w:val="left"/>
      <w:pPr>
        <w:ind w:left="165" w:hanging="123"/>
      </w:pPr>
      <w:rPr>
        <w:rFonts w:ascii="Arial" w:eastAsia="Arial" w:hAnsi="Arial" w:cs="Arial" w:hint="default"/>
        <w:w w:val="99"/>
        <w:sz w:val="20"/>
        <w:szCs w:val="20"/>
      </w:rPr>
    </w:lvl>
    <w:lvl w:ilvl="1" w:tplc="C12E7ED4">
      <w:numFmt w:val="bullet"/>
      <w:lvlText w:val="•"/>
      <w:lvlJc w:val="left"/>
      <w:pPr>
        <w:ind w:left="1102" w:hanging="123"/>
      </w:pPr>
      <w:rPr>
        <w:rFonts w:hint="default"/>
      </w:rPr>
    </w:lvl>
    <w:lvl w:ilvl="2" w:tplc="28CEE856">
      <w:numFmt w:val="bullet"/>
      <w:lvlText w:val="•"/>
      <w:lvlJc w:val="left"/>
      <w:pPr>
        <w:ind w:left="2044" w:hanging="123"/>
      </w:pPr>
      <w:rPr>
        <w:rFonts w:hint="default"/>
      </w:rPr>
    </w:lvl>
    <w:lvl w:ilvl="3" w:tplc="B82CE5A8">
      <w:numFmt w:val="bullet"/>
      <w:lvlText w:val="•"/>
      <w:lvlJc w:val="left"/>
      <w:pPr>
        <w:ind w:left="2986" w:hanging="123"/>
      </w:pPr>
      <w:rPr>
        <w:rFonts w:hint="default"/>
      </w:rPr>
    </w:lvl>
    <w:lvl w:ilvl="4" w:tplc="21BC8606">
      <w:numFmt w:val="bullet"/>
      <w:lvlText w:val="•"/>
      <w:lvlJc w:val="left"/>
      <w:pPr>
        <w:ind w:left="3928" w:hanging="123"/>
      </w:pPr>
      <w:rPr>
        <w:rFonts w:hint="default"/>
      </w:rPr>
    </w:lvl>
    <w:lvl w:ilvl="5" w:tplc="26AE27B0">
      <w:numFmt w:val="bullet"/>
      <w:lvlText w:val="•"/>
      <w:lvlJc w:val="left"/>
      <w:pPr>
        <w:ind w:left="4871" w:hanging="123"/>
      </w:pPr>
      <w:rPr>
        <w:rFonts w:hint="default"/>
      </w:rPr>
    </w:lvl>
    <w:lvl w:ilvl="6" w:tplc="E924C84E">
      <w:numFmt w:val="bullet"/>
      <w:lvlText w:val="•"/>
      <w:lvlJc w:val="left"/>
      <w:pPr>
        <w:ind w:left="5813" w:hanging="123"/>
      </w:pPr>
      <w:rPr>
        <w:rFonts w:hint="default"/>
      </w:rPr>
    </w:lvl>
    <w:lvl w:ilvl="7" w:tplc="F930739C">
      <w:numFmt w:val="bullet"/>
      <w:lvlText w:val="•"/>
      <w:lvlJc w:val="left"/>
      <w:pPr>
        <w:ind w:left="6755" w:hanging="123"/>
      </w:pPr>
      <w:rPr>
        <w:rFonts w:hint="default"/>
      </w:rPr>
    </w:lvl>
    <w:lvl w:ilvl="8" w:tplc="BAEEEB1A">
      <w:numFmt w:val="bullet"/>
      <w:lvlText w:val="•"/>
      <w:lvlJc w:val="left"/>
      <w:pPr>
        <w:ind w:left="7697" w:hanging="123"/>
      </w:pPr>
      <w:rPr>
        <w:rFonts w:hint="default"/>
      </w:rPr>
    </w:lvl>
  </w:abstractNum>
  <w:abstractNum w:abstractNumId="1" w15:restartNumberingAfterBreak="0">
    <w:nsid w:val="75F51363"/>
    <w:multiLevelType w:val="hybridMultilevel"/>
    <w:tmpl w:val="E19833A0"/>
    <w:lvl w:ilvl="0" w:tplc="10F61872">
      <w:numFmt w:val="bullet"/>
      <w:lvlText w:val="-"/>
      <w:lvlJc w:val="left"/>
      <w:pPr>
        <w:ind w:left="609" w:hanging="207"/>
      </w:pPr>
      <w:rPr>
        <w:rFonts w:ascii="Arial" w:eastAsia="Arial" w:hAnsi="Arial" w:cs="Arial" w:hint="default"/>
        <w:w w:val="99"/>
        <w:sz w:val="20"/>
        <w:szCs w:val="20"/>
      </w:rPr>
    </w:lvl>
    <w:lvl w:ilvl="1" w:tplc="0E2C0C46">
      <w:numFmt w:val="bullet"/>
      <w:lvlText w:val="•"/>
      <w:lvlJc w:val="left"/>
      <w:pPr>
        <w:ind w:left="1498" w:hanging="207"/>
      </w:pPr>
      <w:rPr>
        <w:rFonts w:hint="default"/>
      </w:rPr>
    </w:lvl>
    <w:lvl w:ilvl="2" w:tplc="4552CB08">
      <w:numFmt w:val="bullet"/>
      <w:lvlText w:val="•"/>
      <w:lvlJc w:val="left"/>
      <w:pPr>
        <w:ind w:left="2396" w:hanging="207"/>
      </w:pPr>
      <w:rPr>
        <w:rFonts w:hint="default"/>
      </w:rPr>
    </w:lvl>
    <w:lvl w:ilvl="3" w:tplc="67769918">
      <w:numFmt w:val="bullet"/>
      <w:lvlText w:val="•"/>
      <w:lvlJc w:val="left"/>
      <w:pPr>
        <w:ind w:left="3294" w:hanging="207"/>
      </w:pPr>
      <w:rPr>
        <w:rFonts w:hint="default"/>
      </w:rPr>
    </w:lvl>
    <w:lvl w:ilvl="4" w:tplc="BEA2FFE6">
      <w:numFmt w:val="bullet"/>
      <w:lvlText w:val="•"/>
      <w:lvlJc w:val="left"/>
      <w:pPr>
        <w:ind w:left="4192" w:hanging="207"/>
      </w:pPr>
      <w:rPr>
        <w:rFonts w:hint="default"/>
      </w:rPr>
    </w:lvl>
    <w:lvl w:ilvl="5" w:tplc="B6E05FDA">
      <w:numFmt w:val="bullet"/>
      <w:lvlText w:val="•"/>
      <w:lvlJc w:val="left"/>
      <w:pPr>
        <w:ind w:left="5091" w:hanging="207"/>
      </w:pPr>
      <w:rPr>
        <w:rFonts w:hint="default"/>
      </w:rPr>
    </w:lvl>
    <w:lvl w:ilvl="6" w:tplc="BF64FAEA">
      <w:numFmt w:val="bullet"/>
      <w:lvlText w:val="•"/>
      <w:lvlJc w:val="left"/>
      <w:pPr>
        <w:ind w:left="5989" w:hanging="207"/>
      </w:pPr>
      <w:rPr>
        <w:rFonts w:hint="default"/>
      </w:rPr>
    </w:lvl>
    <w:lvl w:ilvl="7" w:tplc="93D0FC52">
      <w:numFmt w:val="bullet"/>
      <w:lvlText w:val="•"/>
      <w:lvlJc w:val="left"/>
      <w:pPr>
        <w:ind w:left="6887" w:hanging="207"/>
      </w:pPr>
      <w:rPr>
        <w:rFonts w:hint="default"/>
      </w:rPr>
    </w:lvl>
    <w:lvl w:ilvl="8" w:tplc="5FD006B8">
      <w:numFmt w:val="bullet"/>
      <w:lvlText w:val="•"/>
      <w:lvlJc w:val="left"/>
      <w:pPr>
        <w:ind w:left="7785" w:hanging="207"/>
      </w:pPr>
      <w:rPr>
        <w:rFonts w:hint="default"/>
      </w:rPr>
    </w:lvl>
  </w:abstractNum>
  <w:abstractNum w:abstractNumId="2" w15:restartNumberingAfterBreak="0">
    <w:nsid w:val="7BE96FB0"/>
    <w:multiLevelType w:val="hybridMultilevel"/>
    <w:tmpl w:val="DF08AF02"/>
    <w:lvl w:ilvl="0" w:tplc="6D22485E">
      <w:numFmt w:val="bullet"/>
      <w:lvlText w:val=""/>
      <w:lvlJc w:val="left"/>
      <w:pPr>
        <w:ind w:left="763" w:hanging="360"/>
      </w:pPr>
      <w:rPr>
        <w:rFonts w:ascii="Symbol" w:eastAsia="Symbol" w:hAnsi="Symbol" w:cs="Symbol" w:hint="default"/>
        <w:w w:val="99"/>
        <w:sz w:val="20"/>
        <w:szCs w:val="20"/>
      </w:rPr>
    </w:lvl>
    <w:lvl w:ilvl="1" w:tplc="A8CC368A">
      <w:numFmt w:val="bullet"/>
      <w:lvlText w:val="•"/>
      <w:lvlJc w:val="left"/>
      <w:pPr>
        <w:ind w:left="1642" w:hanging="360"/>
      </w:pPr>
      <w:rPr>
        <w:rFonts w:hint="default"/>
      </w:rPr>
    </w:lvl>
    <w:lvl w:ilvl="2" w:tplc="96ACAFA0">
      <w:numFmt w:val="bullet"/>
      <w:lvlText w:val="•"/>
      <w:lvlJc w:val="left"/>
      <w:pPr>
        <w:ind w:left="2524" w:hanging="360"/>
      </w:pPr>
      <w:rPr>
        <w:rFonts w:hint="default"/>
      </w:rPr>
    </w:lvl>
    <w:lvl w:ilvl="3" w:tplc="0D54AEF0">
      <w:numFmt w:val="bullet"/>
      <w:lvlText w:val="•"/>
      <w:lvlJc w:val="left"/>
      <w:pPr>
        <w:ind w:left="3406" w:hanging="360"/>
      </w:pPr>
      <w:rPr>
        <w:rFonts w:hint="default"/>
      </w:rPr>
    </w:lvl>
    <w:lvl w:ilvl="4" w:tplc="B908EC3C">
      <w:numFmt w:val="bullet"/>
      <w:lvlText w:val="•"/>
      <w:lvlJc w:val="left"/>
      <w:pPr>
        <w:ind w:left="4288" w:hanging="360"/>
      </w:pPr>
      <w:rPr>
        <w:rFonts w:hint="default"/>
      </w:rPr>
    </w:lvl>
    <w:lvl w:ilvl="5" w:tplc="53F8C810">
      <w:numFmt w:val="bullet"/>
      <w:lvlText w:val="•"/>
      <w:lvlJc w:val="left"/>
      <w:pPr>
        <w:ind w:left="5171" w:hanging="360"/>
      </w:pPr>
      <w:rPr>
        <w:rFonts w:hint="default"/>
      </w:rPr>
    </w:lvl>
    <w:lvl w:ilvl="6" w:tplc="876A55E0">
      <w:numFmt w:val="bullet"/>
      <w:lvlText w:val="•"/>
      <w:lvlJc w:val="left"/>
      <w:pPr>
        <w:ind w:left="6053" w:hanging="360"/>
      </w:pPr>
      <w:rPr>
        <w:rFonts w:hint="default"/>
      </w:rPr>
    </w:lvl>
    <w:lvl w:ilvl="7" w:tplc="F5C4E868">
      <w:numFmt w:val="bullet"/>
      <w:lvlText w:val="•"/>
      <w:lvlJc w:val="left"/>
      <w:pPr>
        <w:ind w:left="6935" w:hanging="360"/>
      </w:pPr>
      <w:rPr>
        <w:rFonts w:hint="default"/>
      </w:rPr>
    </w:lvl>
    <w:lvl w:ilvl="8" w:tplc="7CECDA8C">
      <w:numFmt w:val="bullet"/>
      <w:lvlText w:val="•"/>
      <w:lvlJc w:val="left"/>
      <w:pPr>
        <w:ind w:left="7817"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D0"/>
    <w:rsid w:val="00554FD0"/>
    <w:rsid w:val="0099468B"/>
    <w:rsid w:val="00CB13B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92A77C-E3D9-4591-B1FD-5CE72A47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oyong@nus.edu.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module.nus.edu.sg/ac/" TargetMode="External"/><Relationship Id="rId4" Type="http://schemas.openxmlformats.org/officeDocument/2006/relationships/webSettings" Target="webSettings.xml"/><Relationship Id="rId9" Type="http://schemas.openxmlformats.org/officeDocument/2006/relationships/hyperlink" Target="http://www.nus.edu.sg/registrar/adminpolicy/accept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Current Module Code</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Module Code</dc:title>
  <dc:creator>LJY</dc:creator>
  <cp:lastModifiedBy>Lai Kwai Yoong</cp:lastModifiedBy>
  <cp:revision>2</cp:revision>
  <dcterms:created xsi:type="dcterms:W3CDTF">2020-07-17T03:03:00Z</dcterms:created>
  <dcterms:modified xsi:type="dcterms:W3CDTF">2020-07-17T03:03:00Z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Microsoft® Word for Microsoft 365</vt:lpwstr>
  </property>
  <property fmtid="{D5CDD505-2E9C-101B-9397-08002B2CF9AE}" pid="4" name="LastSaved">
    <vt:filetime>2020-07-17T00:00:00Z</vt:filetime>
  </property>
</Properties>
</file>